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7E33" w14:textId="77777777" w:rsidR="00B45145" w:rsidRDefault="00B45145" w:rsidP="00AA6146">
      <w:pPr>
        <w:spacing w:line="240" w:lineRule="auto"/>
        <w:jc w:val="center"/>
        <w:rPr>
          <w:sz w:val="96"/>
          <w:szCs w:val="96"/>
        </w:rPr>
      </w:pPr>
    </w:p>
    <w:p w14:paraId="7666EBB5" w14:textId="77777777" w:rsidR="00B45145" w:rsidRDefault="00B45145" w:rsidP="00AA6146">
      <w:pPr>
        <w:spacing w:line="240" w:lineRule="auto"/>
        <w:jc w:val="center"/>
        <w:rPr>
          <w:sz w:val="96"/>
          <w:szCs w:val="96"/>
        </w:rPr>
      </w:pPr>
    </w:p>
    <w:p w14:paraId="34D48CF1" w14:textId="77777777" w:rsidR="00B45145" w:rsidRDefault="00B45145" w:rsidP="00AA6146">
      <w:pPr>
        <w:spacing w:line="240" w:lineRule="auto"/>
        <w:jc w:val="center"/>
        <w:rPr>
          <w:sz w:val="96"/>
          <w:szCs w:val="96"/>
        </w:rPr>
      </w:pPr>
    </w:p>
    <w:p w14:paraId="73F515F7" w14:textId="1D26ECE0" w:rsidR="00D65673" w:rsidRDefault="008210DC" w:rsidP="000C6A7B">
      <w:pPr>
        <w:pBdr>
          <w:top w:val="single" w:sz="4" w:space="1" w:color="auto"/>
          <w:left w:val="single" w:sz="4" w:space="4" w:color="auto"/>
          <w:bottom w:val="single" w:sz="4" w:space="1" w:color="auto"/>
          <w:right w:val="single" w:sz="4" w:space="4" w:color="auto"/>
        </w:pBdr>
        <w:spacing w:line="240" w:lineRule="auto"/>
        <w:jc w:val="center"/>
        <w:rPr>
          <w:sz w:val="96"/>
          <w:szCs w:val="96"/>
        </w:rPr>
      </w:pPr>
      <w:r w:rsidRPr="009A17BE">
        <w:rPr>
          <w:sz w:val="96"/>
          <w:szCs w:val="96"/>
        </w:rPr>
        <w:t>Guide d’utilisation</w:t>
      </w:r>
      <w:r w:rsidR="00D56D41" w:rsidRPr="009A17BE">
        <w:rPr>
          <w:sz w:val="96"/>
          <w:szCs w:val="96"/>
        </w:rPr>
        <w:t xml:space="preserve"> </w:t>
      </w:r>
      <w:r w:rsidR="009A6106" w:rsidRPr="009A17BE">
        <w:rPr>
          <w:sz w:val="96"/>
          <w:szCs w:val="96"/>
        </w:rPr>
        <w:t xml:space="preserve">du </w:t>
      </w:r>
      <w:r w:rsidR="00D067C6">
        <w:rPr>
          <w:sz w:val="96"/>
          <w:szCs w:val="96"/>
        </w:rPr>
        <w:t>C</w:t>
      </w:r>
      <w:r w:rsidR="00D56D41" w:rsidRPr="009A17BE">
        <w:rPr>
          <w:sz w:val="96"/>
          <w:szCs w:val="96"/>
        </w:rPr>
        <w:t>lausier CPE</w:t>
      </w:r>
    </w:p>
    <w:p w14:paraId="527BE857" w14:textId="50F8CD9E" w:rsidR="00F20100" w:rsidRDefault="00F20100" w:rsidP="00AA6146">
      <w:pPr>
        <w:spacing w:line="240" w:lineRule="auto"/>
        <w:rPr>
          <w:sz w:val="36"/>
          <w:szCs w:val="36"/>
        </w:rPr>
      </w:pPr>
      <w:r>
        <w:rPr>
          <w:sz w:val="36"/>
          <w:szCs w:val="36"/>
        </w:rPr>
        <w:br w:type="page"/>
      </w:r>
    </w:p>
    <w:p w14:paraId="404CFF83" w14:textId="228936B2" w:rsidR="009B5EB2" w:rsidRPr="00D65673" w:rsidRDefault="008210DC" w:rsidP="00AA6146">
      <w:pPr>
        <w:spacing w:line="240" w:lineRule="auto"/>
        <w:rPr>
          <w:b/>
          <w:color w:val="00B050"/>
          <w:sz w:val="24"/>
          <w:szCs w:val="24"/>
          <w:u w:val="single"/>
        </w:rPr>
      </w:pPr>
      <w:r w:rsidRPr="00D65673">
        <w:rPr>
          <w:b/>
          <w:bCs/>
          <w:color w:val="00B050"/>
          <w:sz w:val="24"/>
          <w:szCs w:val="24"/>
          <w:u w:val="single"/>
        </w:rPr>
        <w:lastRenderedPageBreak/>
        <w:t>Sommaire</w:t>
      </w:r>
    </w:p>
    <w:p w14:paraId="5E67F23A" w14:textId="77777777" w:rsidR="008210DC" w:rsidRDefault="008210DC" w:rsidP="00AA6146">
      <w:pPr>
        <w:spacing w:line="240" w:lineRule="auto"/>
      </w:pPr>
    </w:p>
    <w:p w14:paraId="125D0083" w14:textId="2DF2EDD8" w:rsidR="000C6A7B" w:rsidRDefault="006D5F3D">
      <w:pPr>
        <w:pStyle w:val="TM1"/>
        <w:tabs>
          <w:tab w:val="right" w:leader="dot" w:pos="9062"/>
        </w:tabs>
        <w:rPr>
          <w:rFonts w:eastAsiaTheme="minorEastAsia"/>
          <w:noProof/>
          <w:sz w:val="24"/>
          <w:szCs w:val="24"/>
          <w:lang w:eastAsia="fr-FR"/>
        </w:rPr>
      </w:pPr>
      <w:r>
        <w:rPr>
          <w:rFonts w:cstheme="minorHAnsi"/>
          <w:b/>
          <w:bCs/>
          <w:caps/>
          <w:sz w:val="20"/>
          <w:szCs w:val="20"/>
        </w:rPr>
        <w:fldChar w:fldCharType="begin"/>
      </w:r>
      <w:r>
        <w:instrText xml:space="preserve"> TOC \o "1-3" \h \z \u </w:instrText>
      </w:r>
      <w:r>
        <w:rPr>
          <w:rFonts w:cstheme="minorHAnsi"/>
          <w:b/>
          <w:bCs/>
          <w:caps/>
          <w:sz w:val="20"/>
          <w:szCs w:val="20"/>
        </w:rPr>
        <w:fldChar w:fldCharType="separate"/>
      </w:r>
      <w:hyperlink w:anchor="_Toc112748985" w:history="1">
        <w:r w:rsidR="000C6A7B" w:rsidRPr="002F7940">
          <w:rPr>
            <w:rStyle w:val="Lienhypertexte"/>
            <w:noProof/>
          </w:rPr>
          <w:t>Partie I : Présentation du Clausier CPE FNCCR</w:t>
        </w:r>
        <w:r w:rsidR="000C6A7B">
          <w:rPr>
            <w:noProof/>
            <w:webHidden/>
          </w:rPr>
          <w:tab/>
        </w:r>
        <w:r w:rsidR="000C6A7B">
          <w:rPr>
            <w:noProof/>
            <w:webHidden/>
          </w:rPr>
          <w:fldChar w:fldCharType="begin"/>
        </w:r>
        <w:r w:rsidR="000C6A7B">
          <w:rPr>
            <w:noProof/>
            <w:webHidden/>
          </w:rPr>
          <w:instrText xml:space="preserve"> PAGEREF _Toc112748985 \h </w:instrText>
        </w:r>
        <w:r w:rsidR="000C6A7B">
          <w:rPr>
            <w:noProof/>
            <w:webHidden/>
          </w:rPr>
        </w:r>
        <w:r w:rsidR="000C6A7B">
          <w:rPr>
            <w:noProof/>
            <w:webHidden/>
          </w:rPr>
          <w:fldChar w:fldCharType="separate"/>
        </w:r>
        <w:r w:rsidR="000C6A7B">
          <w:rPr>
            <w:noProof/>
            <w:webHidden/>
          </w:rPr>
          <w:t>4</w:t>
        </w:r>
        <w:r w:rsidR="000C6A7B">
          <w:rPr>
            <w:noProof/>
            <w:webHidden/>
          </w:rPr>
          <w:fldChar w:fldCharType="end"/>
        </w:r>
      </w:hyperlink>
    </w:p>
    <w:p w14:paraId="14E94F39" w14:textId="2032ED5F" w:rsidR="000C6A7B" w:rsidRDefault="00000000">
      <w:pPr>
        <w:pStyle w:val="TM1"/>
        <w:tabs>
          <w:tab w:val="right" w:leader="dot" w:pos="9062"/>
        </w:tabs>
        <w:rPr>
          <w:rFonts w:eastAsiaTheme="minorEastAsia"/>
          <w:noProof/>
          <w:sz w:val="24"/>
          <w:szCs w:val="24"/>
          <w:lang w:eastAsia="fr-FR"/>
        </w:rPr>
      </w:pPr>
      <w:hyperlink w:anchor="_Toc112748986" w:history="1">
        <w:r w:rsidR="000C6A7B" w:rsidRPr="002F7940">
          <w:rPr>
            <w:rStyle w:val="Lienhypertexte"/>
            <w:noProof/>
          </w:rPr>
          <w:t>1. Objectifs du Clausier CPE FNCCR</w:t>
        </w:r>
        <w:r w:rsidR="000C6A7B">
          <w:rPr>
            <w:noProof/>
            <w:webHidden/>
          </w:rPr>
          <w:tab/>
        </w:r>
        <w:r w:rsidR="000C6A7B">
          <w:rPr>
            <w:noProof/>
            <w:webHidden/>
          </w:rPr>
          <w:fldChar w:fldCharType="begin"/>
        </w:r>
        <w:r w:rsidR="000C6A7B">
          <w:rPr>
            <w:noProof/>
            <w:webHidden/>
          </w:rPr>
          <w:instrText xml:space="preserve"> PAGEREF _Toc112748986 \h </w:instrText>
        </w:r>
        <w:r w:rsidR="000C6A7B">
          <w:rPr>
            <w:noProof/>
            <w:webHidden/>
          </w:rPr>
        </w:r>
        <w:r w:rsidR="000C6A7B">
          <w:rPr>
            <w:noProof/>
            <w:webHidden/>
          </w:rPr>
          <w:fldChar w:fldCharType="separate"/>
        </w:r>
        <w:r w:rsidR="000C6A7B">
          <w:rPr>
            <w:noProof/>
            <w:webHidden/>
          </w:rPr>
          <w:t>4</w:t>
        </w:r>
        <w:r w:rsidR="000C6A7B">
          <w:rPr>
            <w:noProof/>
            <w:webHidden/>
          </w:rPr>
          <w:fldChar w:fldCharType="end"/>
        </w:r>
      </w:hyperlink>
    </w:p>
    <w:p w14:paraId="559108EF" w14:textId="29FA7A5A" w:rsidR="000C6A7B" w:rsidRDefault="00000000">
      <w:pPr>
        <w:pStyle w:val="TM1"/>
        <w:tabs>
          <w:tab w:val="right" w:leader="dot" w:pos="9062"/>
        </w:tabs>
        <w:rPr>
          <w:rFonts w:eastAsiaTheme="minorEastAsia"/>
          <w:noProof/>
          <w:sz w:val="24"/>
          <w:szCs w:val="24"/>
          <w:lang w:eastAsia="fr-FR"/>
        </w:rPr>
      </w:pPr>
      <w:hyperlink w:anchor="_Toc112748987" w:history="1">
        <w:r w:rsidR="000C6A7B" w:rsidRPr="002F7940">
          <w:rPr>
            <w:rStyle w:val="Lienhypertexte"/>
            <w:noProof/>
          </w:rPr>
          <w:t>2. Champ d’application du Clausier CPE FNCCR</w:t>
        </w:r>
        <w:r w:rsidR="000C6A7B">
          <w:rPr>
            <w:noProof/>
            <w:webHidden/>
          </w:rPr>
          <w:tab/>
        </w:r>
        <w:r w:rsidR="000C6A7B">
          <w:rPr>
            <w:noProof/>
            <w:webHidden/>
          </w:rPr>
          <w:fldChar w:fldCharType="begin"/>
        </w:r>
        <w:r w:rsidR="000C6A7B">
          <w:rPr>
            <w:noProof/>
            <w:webHidden/>
          </w:rPr>
          <w:instrText xml:space="preserve"> PAGEREF _Toc112748987 \h </w:instrText>
        </w:r>
        <w:r w:rsidR="000C6A7B">
          <w:rPr>
            <w:noProof/>
            <w:webHidden/>
          </w:rPr>
        </w:r>
        <w:r w:rsidR="000C6A7B">
          <w:rPr>
            <w:noProof/>
            <w:webHidden/>
          </w:rPr>
          <w:fldChar w:fldCharType="separate"/>
        </w:r>
        <w:r w:rsidR="000C6A7B">
          <w:rPr>
            <w:noProof/>
            <w:webHidden/>
          </w:rPr>
          <w:t>5</w:t>
        </w:r>
        <w:r w:rsidR="000C6A7B">
          <w:rPr>
            <w:noProof/>
            <w:webHidden/>
          </w:rPr>
          <w:fldChar w:fldCharType="end"/>
        </w:r>
      </w:hyperlink>
    </w:p>
    <w:p w14:paraId="3810A0C0" w14:textId="2CC482F0" w:rsidR="000C6A7B" w:rsidRDefault="00000000">
      <w:pPr>
        <w:pStyle w:val="TM2"/>
        <w:tabs>
          <w:tab w:val="right" w:leader="dot" w:pos="9062"/>
        </w:tabs>
        <w:rPr>
          <w:rFonts w:eastAsiaTheme="minorEastAsia" w:cstheme="minorBidi"/>
          <w:smallCaps w:val="0"/>
          <w:noProof/>
          <w:sz w:val="24"/>
          <w:szCs w:val="24"/>
          <w:lang w:eastAsia="fr-FR"/>
        </w:rPr>
      </w:pPr>
      <w:hyperlink w:anchor="_Toc112748988" w:history="1">
        <w:r w:rsidR="000C6A7B" w:rsidRPr="002F7940">
          <w:rPr>
            <w:rStyle w:val="Lienhypertexte"/>
            <w:noProof/>
          </w:rPr>
          <w:t>2.1. Les acheteurs publics : les personnes morales de droit public de niveau territorial</w:t>
        </w:r>
        <w:r w:rsidR="000C6A7B">
          <w:rPr>
            <w:noProof/>
            <w:webHidden/>
          </w:rPr>
          <w:tab/>
        </w:r>
        <w:r w:rsidR="000C6A7B">
          <w:rPr>
            <w:noProof/>
            <w:webHidden/>
          </w:rPr>
          <w:fldChar w:fldCharType="begin"/>
        </w:r>
        <w:r w:rsidR="000C6A7B">
          <w:rPr>
            <w:noProof/>
            <w:webHidden/>
          </w:rPr>
          <w:instrText xml:space="preserve"> PAGEREF _Toc112748988 \h </w:instrText>
        </w:r>
        <w:r w:rsidR="000C6A7B">
          <w:rPr>
            <w:noProof/>
            <w:webHidden/>
          </w:rPr>
        </w:r>
        <w:r w:rsidR="000C6A7B">
          <w:rPr>
            <w:noProof/>
            <w:webHidden/>
          </w:rPr>
          <w:fldChar w:fldCharType="separate"/>
        </w:r>
        <w:r w:rsidR="000C6A7B">
          <w:rPr>
            <w:noProof/>
            <w:webHidden/>
          </w:rPr>
          <w:t>5</w:t>
        </w:r>
        <w:r w:rsidR="000C6A7B">
          <w:rPr>
            <w:noProof/>
            <w:webHidden/>
          </w:rPr>
          <w:fldChar w:fldCharType="end"/>
        </w:r>
      </w:hyperlink>
    </w:p>
    <w:p w14:paraId="70F3BD1D" w14:textId="5B76C135" w:rsidR="000C6A7B" w:rsidRDefault="00000000">
      <w:pPr>
        <w:pStyle w:val="TM2"/>
        <w:tabs>
          <w:tab w:val="right" w:leader="dot" w:pos="9062"/>
        </w:tabs>
        <w:rPr>
          <w:rFonts w:eastAsiaTheme="minorEastAsia" w:cstheme="minorBidi"/>
          <w:smallCaps w:val="0"/>
          <w:noProof/>
          <w:sz w:val="24"/>
          <w:szCs w:val="24"/>
          <w:lang w:eastAsia="fr-FR"/>
        </w:rPr>
      </w:pPr>
      <w:hyperlink w:anchor="_Toc112748989" w:history="1">
        <w:r w:rsidR="000C6A7B" w:rsidRPr="002F7940">
          <w:rPr>
            <w:rStyle w:val="Lienhypertexte"/>
            <w:noProof/>
          </w:rPr>
          <w:t>2.2. La nature des opérations : la rénovation énergétique des Bâtiments et leurs Installations Techniques, dans le cadre d’un CPE</w:t>
        </w:r>
        <w:r w:rsidR="000C6A7B">
          <w:rPr>
            <w:noProof/>
            <w:webHidden/>
          </w:rPr>
          <w:tab/>
        </w:r>
        <w:r w:rsidR="000C6A7B">
          <w:rPr>
            <w:noProof/>
            <w:webHidden/>
          </w:rPr>
          <w:fldChar w:fldCharType="begin"/>
        </w:r>
        <w:r w:rsidR="000C6A7B">
          <w:rPr>
            <w:noProof/>
            <w:webHidden/>
          </w:rPr>
          <w:instrText xml:space="preserve"> PAGEREF _Toc112748989 \h </w:instrText>
        </w:r>
        <w:r w:rsidR="000C6A7B">
          <w:rPr>
            <w:noProof/>
            <w:webHidden/>
          </w:rPr>
        </w:r>
        <w:r w:rsidR="000C6A7B">
          <w:rPr>
            <w:noProof/>
            <w:webHidden/>
          </w:rPr>
          <w:fldChar w:fldCharType="separate"/>
        </w:r>
        <w:r w:rsidR="000C6A7B">
          <w:rPr>
            <w:noProof/>
            <w:webHidden/>
          </w:rPr>
          <w:t>5</w:t>
        </w:r>
        <w:r w:rsidR="000C6A7B">
          <w:rPr>
            <w:noProof/>
            <w:webHidden/>
          </w:rPr>
          <w:fldChar w:fldCharType="end"/>
        </w:r>
      </w:hyperlink>
    </w:p>
    <w:p w14:paraId="51AAF9CB" w14:textId="7F8A6FAF" w:rsidR="000C6A7B" w:rsidRDefault="00000000">
      <w:pPr>
        <w:pStyle w:val="TM2"/>
        <w:tabs>
          <w:tab w:val="right" w:leader="dot" w:pos="9062"/>
        </w:tabs>
        <w:rPr>
          <w:rFonts w:eastAsiaTheme="minorEastAsia" w:cstheme="minorBidi"/>
          <w:smallCaps w:val="0"/>
          <w:noProof/>
          <w:sz w:val="24"/>
          <w:szCs w:val="24"/>
          <w:lang w:eastAsia="fr-FR"/>
        </w:rPr>
      </w:pPr>
      <w:hyperlink w:anchor="_Toc112748990" w:history="1">
        <w:r w:rsidR="000C6A7B" w:rsidRPr="002F7940">
          <w:rPr>
            <w:rStyle w:val="Lienhypertexte"/>
            <w:noProof/>
          </w:rPr>
          <w:t>2.3. Le véhicule contractuel: le MPGP</w:t>
        </w:r>
        <w:r w:rsidR="000C6A7B">
          <w:rPr>
            <w:noProof/>
            <w:webHidden/>
          </w:rPr>
          <w:tab/>
        </w:r>
        <w:r w:rsidR="000C6A7B">
          <w:rPr>
            <w:noProof/>
            <w:webHidden/>
          </w:rPr>
          <w:fldChar w:fldCharType="begin"/>
        </w:r>
        <w:r w:rsidR="000C6A7B">
          <w:rPr>
            <w:noProof/>
            <w:webHidden/>
          </w:rPr>
          <w:instrText xml:space="preserve"> PAGEREF _Toc112748990 \h </w:instrText>
        </w:r>
        <w:r w:rsidR="000C6A7B">
          <w:rPr>
            <w:noProof/>
            <w:webHidden/>
          </w:rPr>
        </w:r>
        <w:r w:rsidR="000C6A7B">
          <w:rPr>
            <w:noProof/>
            <w:webHidden/>
          </w:rPr>
          <w:fldChar w:fldCharType="separate"/>
        </w:r>
        <w:r w:rsidR="000C6A7B">
          <w:rPr>
            <w:noProof/>
            <w:webHidden/>
          </w:rPr>
          <w:t>6</w:t>
        </w:r>
        <w:r w:rsidR="000C6A7B">
          <w:rPr>
            <w:noProof/>
            <w:webHidden/>
          </w:rPr>
          <w:fldChar w:fldCharType="end"/>
        </w:r>
      </w:hyperlink>
    </w:p>
    <w:p w14:paraId="273DCF1E" w14:textId="3876FD35" w:rsidR="000C6A7B" w:rsidRDefault="00000000">
      <w:pPr>
        <w:pStyle w:val="TM3"/>
        <w:tabs>
          <w:tab w:val="right" w:leader="dot" w:pos="9062"/>
        </w:tabs>
        <w:rPr>
          <w:rFonts w:eastAsiaTheme="minorEastAsia" w:cstheme="minorBidi"/>
          <w:i w:val="0"/>
          <w:iCs w:val="0"/>
          <w:noProof/>
          <w:sz w:val="24"/>
          <w:szCs w:val="24"/>
          <w:lang w:eastAsia="fr-FR"/>
        </w:rPr>
      </w:pPr>
      <w:hyperlink w:anchor="_Toc112748991" w:history="1">
        <w:r w:rsidR="000C6A7B" w:rsidRPr="002F7940">
          <w:rPr>
            <w:rStyle w:val="Lienhypertexte"/>
            <w:noProof/>
          </w:rPr>
          <w:t>2.3.1. Mission globale du Titulaire</w:t>
        </w:r>
        <w:r w:rsidR="000C6A7B">
          <w:rPr>
            <w:noProof/>
            <w:webHidden/>
          </w:rPr>
          <w:tab/>
        </w:r>
        <w:r w:rsidR="000C6A7B">
          <w:rPr>
            <w:noProof/>
            <w:webHidden/>
          </w:rPr>
          <w:fldChar w:fldCharType="begin"/>
        </w:r>
        <w:r w:rsidR="000C6A7B">
          <w:rPr>
            <w:noProof/>
            <w:webHidden/>
          </w:rPr>
          <w:instrText xml:space="preserve"> PAGEREF _Toc112748991 \h </w:instrText>
        </w:r>
        <w:r w:rsidR="000C6A7B">
          <w:rPr>
            <w:noProof/>
            <w:webHidden/>
          </w:rPr>
        </w:r>
        <w:r w:rsidR="000C6A7B">
          <w:rPr>
            <w:noProof/>
            <w:webHidden/>
          </w:rPr>
          <w:fldChar w:fldCharType="separate"/>
        </w:r>
        <w:r w:rsidR="000C6A7B">
          <w:rPr>
            <w:noProof/>
            <w:webHidden/>
          </w:rPr>
          <w:t>6</w:t>
        </w:r>
        <w:r w:rsidR="000C6A7B">
          <w:rPr>
            <w:noProof/>
            <w:webHidden/>
          </w:rPr>
          <w:fldChar w:fldCharType="end"/>
        </w:r>
      </w:hyperlink>
    </w:p>
    <w:p w14:paraId="093F7ABB" w14:textId="67DD74F7" w:rsidR="000C6A7B" w:rsidRDefault="00000000">
      <w:pPr>
        <w:pStyle w:val="TM3"/>
        <w:tabs>
          <w:tab w:val="right" w:leader="dot" w:pos="9062"/>
        </w:tabs>
        <w:rPr>
          <w:rFonts w:eastAsiaTheme="minorEastAsia" w:cstheme="minorBidi"/>
          <w:i w:val="0"/>
          <w:iCs w:val="0"/>
          <w:noProof/>
          <w:sz w:val="24"/>
          <w:szCs w:val="24"/>
          <w:lang w:eastAsia="fr-FR"/>
        </w:rPr>
      </w:pPr>
      <w:hyperlink w:anchor="_Toc112748992" w:history="1">
        <w:r w:rsidR="000C6A7B" w:rsidRPr="002F7940">
          <w:rPr>
            <w:rStyle w:val="Lienhypertexte"/>
            <w:noProof/>
          </w:rPr>
          <w:t>2.3.2. Objectifs d’un MPGP</w:t>
        </w:r>
        <w:r w:rsidR="000C6A7B">
          <w:rPr>
            <w:noProof/>
            <w:webHidden/>
          </w:rPr>
          <w:tab/>
        </w:r>
        <w:r w:rsidR="000C6A7B">
          <w:rPr>
            <w:noProof/>
            <w:webHidden/>
          </w:rPr>
          <w:fldChar w:fldCharType="begin"/>
        </w:r>
        <w:r w:rsidR="000C6A7B">
          <w:rPr>
            <w:noProof/>
            <w:webHidden/>
          </w:rPr>
          <w:instrText xml:space="preserve"> PAGEREF _Toc112748992 \h </w:instrText>
        </w:r>
        <w:r w:rsidR="000C6A7B">
          <w:rPr>
            <w:noProof/>
            <w:webHidden/>
          </w:rPr>
        </w:r>
        <w:r w:rsidR="000C6A7B">
          <w:rPr>
            <w:noProof/>
            <w:webHidden/>
          </w:rPr>
          <w:fldChar w:fldCharType="separate"/>
        </w:r>
        <w:r w:rsidR="000C6A7B">
          <w:rPr>
            <w:noProof/>
            <w:webHidden/>
          </w:rPr>
          <w:t>7</w:t>
        </w:r>
        <w:r w:rsidR="000C6A7B">
          <w:rPr>
            <w:noProof/>
            <w:webHidden/>
          </w:rPr>
          <w:fldChar w:fldCharType="end"/>
        </w:r>
      </w:hyperlink>
    </w:p>
    <w:p w14:paraId="635420B0" w14:textId="27AC62E5" w:rsidR="000C6A7B" w:rsidRDefault="00000000">
      <w:pPr>
        <w:pStyle w:val="TM3"/>
        <w:tabs>
          <w:tab w:val="right" w:leader="dot" w:pos="9062"/>
        </w:tabs>
        <w:rPr>
          <w:rFonts w:eastAsiaTheme="minorEastAsia" w:cstheme="minorBidi"/>
          <w:i w:val="0"/>
          <w:iCs w:val="0"/>
          <w:noProof/>
          <w:sz w:val="24"/>
          <w:szCs w:val="24"/>
          <w:lang w:eastAsia="fr-FR"/>
        </w:rPr>
      </w:pPr>
      <w:hyperlink w:anchor="_Toc112748993" w:history="1">
        <w:r w:rsidR="000C6A7B" w:rsidRPr="002F7940">
          <w:rPr>
            <w:rStyle w:val="Lienhypertexte"/>
            <w:noProof/>
          </w:rPr>
          <w:t>2.3.3. Durée du MPGP</w:t>
        </w:r>
        <w:r w:rsidR="000C6A7B">
          <w:rPr>
            <w:noProof/>
            <w:webHidden/>
          </w:rPr>
          <w:tab/>
        </w:r>
        <w:r w:rsidR="000C6A7B">
          <w:rPr>
            <w:noProof/>
            <w:webHidden/>
          </w:rPr>
          <w:fldChar w:fldCharType="begin"/>
        </w:r>
        <w:r w:rsidR="000C6A7B">
          <w:rPr>
            <w:noProof/>
            <w:webHidden/>
          </w:rPr>
          <w:instrText xml:space="preserve"> PAGEREF _Toc112748993 \h </w:instrText>
        </w:r>
        <w:r w:rsidR="000C6A7B">
          <w:rPr>
            <w:noProof/>
            <w:webHidden/>
          </w:rPr>
        </w:r>
        <w:r w:rsidR="000C6A7B">
          <w:rPr>
            <w:noProof/>
            <w:webHidden/>
          </w:rPr>
          <w:fldChar w:fldCharType="separate"/>
        </w:r>
        <w:r w:rsidR="000C6A7B">
          <w:rPr>
            <w:noProof/>
            <w:webHidden/>
          </w:rPr>
          <w:t>7</w:t>
        </w:r>
        <w:r w:rsidR="000C6A7B">
          <w:rPr>
            <w:noProof/>
            <w:webHidden/>
          </w:rPr>
          <w:fldChar w:fldCharType="end"/>
        </w:r>
      </w:hyperlink>
    </w:p>
    <w:p w14:paraId="2D76E817" w14:textId="18DC2529" w:rsidR="000C6A7B" w:rsidRDefault="00000000">
      <w:pPr>
        <w:pStyle w:val="TM1"/>
        <w:tabs>
          <w:tab w:val="right" w:leader="dot" w:pos="9062"/>
        </w:tabs>
        <w:rPr>
          <w:rFonts w:eastAsiaTheme="minorEastAsia"/>
          <w:noProof/>
          <w:sz w:val="24"/>
          <w:szCs w:val="24"/>
          <w:lang w:eastAsia="fr-FR"/>
        </w:rPr>
      </w:pPr>
      <w:hyperlink w:anchor="_Toc112748994" w:history="1">
        <w:r w:rsidR="000C6A7B" w:rsidRPr="002F7940">
          <w:rPr>
            <w:rStyle w:val="Lienhypertexte"/>
            <w:noProof/>
          </w:rPr>
          <w:t>3. Contenu du Clausier CPE FNCCR</w:t>
        </w:r>
        <w:r w:rsidR="000C6A7B">
          <w:rPr>
            <w:noProof/>
            <w:webHidden/>
          </w:rPr>
          <w:tab/>
        </w:r>
        <w:r w:rsidR="000C6A7B">
          <w:rPr>
            <w:noProof/>
            <w:webHidden/>
          </w:rPr>
          <w:fldChar w:fldCharType="begin"/>
        </w:r>
        <w:r w:rsidR="000C6A7B">
          <w:rPr>
            <w:noProof/>
            <w:webHidden/>
          </w:rPr>
          <w:instrText xml:space="preserve"> PAGEREF _Toc112748994 \h </w:instrText>
        </w:r>
        <w:r w:rsidR="000C6A7B">
          <w:rPr>
            <w:noProof/>
            <w:webHidden/>
          </w:rPr>
        </w:r>
        <w:r w:rsidR="000C6A7B">
          <w:rPr>
            <w:noProof/>
            <w:webHidden/>
          </w:rPr>
          <w:fldChar w:fldCharType="separate"/>
        </w:r>
        <w:r w:rsidR="000C6A7B">
          <w:rPr>
            <w:noProof/>
            <w:webHidden/>
          </w:rPr>
          <w:t>8</w:t>
        </w:r>
        <w:r w:rsidR="000C6A7B">
          <w:rPr>
            <w:noProof/>
            <w:webHidden/>
          </w:rPr>
          <w:fldChar w:fldCharType="end"/>
        </w:r>
      </w:hyperlink>
    </w:p>
    <w:p w14:paraId="45B28043" w14:textId="40035352" w:rsidR="000C6A7B" w:rsidRDefault="00000000">
      <w:pPr>
        <w:pStyle w:val="TM1"/>
        <w:tabs>
          <w:tab w:val="right" w:leader="dot" w:pos="9062"/>
        </w:tabs>
        <w:rPr>
          <w:rFonts w:eastAsiaTheme="minorEastAsia"/>
          <w:noProof/>
          <w:sz w:val="24"/>
          <w:szCs w:val="24"/>
          <w:lang w:eastAsia="fr-FR"/>
        </w:rPr>
      </w:pPr>
      <w:hyperlink w:anchor="_Toc112748995" w:history="1">
        <w:r w:rsidR="000C6A7B" w:rsidRPr="002F7940">
          <w:rPr>
            <w:rStyle w:val="Lienhypertexte"/>
            <w:noProof/>
          </w:rPr>
          <w:t>Partie II : Points clés des CPE</w:t>
        </w:r>
        <w:r w:rsidR="000C6A7B">
          <w:rPr>
            <w:noProof/>
            <w:webHidden/>
          </w:rPr>
          <w:tab/>
        </w:r>
        <w:r w:rsidR="000C6A7B">
          <w:rPr>
            <w:noProof/>
            <w:webHidden/>
          </w:rPr>
          <w:fldChar w:fldCharType="begin"/>
        </w:r>
        <w:r w:rsidR="000C6A7B">
          <w:rPr>
            <w:noProof/>
            <w:webHidden/>
          </w:rPr>
          <w:instrText xml:space="preserve"> PAGEREF _Toc112748995 \h </w:instrText>
        </w:r>
        <w:r w:rsidR="000C6A7B">
          <w:rPr>
            <w:noProof/>
            <w:webHidden/>
          </w:rPr>
        </w:r>
        <w:r w:rsidR="000C6A7B">
          <w:rPr>
            <w:noProof/>
            <w:webHidden/>
          </w:rPr>
          <w:fldChar w:fldCharType="separate"/>
        </w:r>
        <w:r w:rsidR="000C6A7B">
          <w:rPr>
            <w:noProof/>
            <w:webHidden/>
          </w:rPr>
          <w:t>10</w:t>
        </w:r>
        <w:r w:rsidR="000C6A7B">
          <w:rPr>
            <w:noProof/>
            <w:webHidden/>
          </w:rPr>
          <w:fldChar w:fldCharType="end"/>
        </w:r>
      </w:hyperlink>
    </w:p>
    <w:p w14:paraId="6BEF763C" w14:textId="60181318" w:rsidR="000C6A7B" w:rsidRDefault="00000000">
      <w:pPr>
        <w:pStyle w:val="TM1"/>
        <w:tabs>
          <w:tab w:val="right" w:leader="dot" w:pos="9062"/>
        </w:tabs>
        <w:rPr>
          <w:rFonts w:eastAsiaTheme="minorEastAsia"/>
          <w:noProof/>
          <w:sz w:val="24"/>
          <w:szCs w:val="24"/>
          <w:lang w:eastAsia="fr-FR"/>
        </w:rPr>
      </w:pPr>
      <w:hyperlink w:anchor="_Toc112748996" w:history="1">
        <w:r w:rsidR="000C6A7B" w:rsidRPr="002F7940">
          <w:rPr>
            <w:rStyle w:val="Lienhypertexte"/>
            <w:noProof/>
          </w:rPr>
          <w:t>4. Origine des CPE</w:t>
        </w:r>
        <w:r w:rsidR="000C6A7B">
          <w:rPr>
            <w:noProof/>
            <w:webHidden/>
          </w:rPr>
          <w:tab/>
        </w:r>
        <w:r w:rsidR="000C6A7B">
          <w:rPr>
            <w:noProof/>
            <w:webHidden/>
          </w:rPr>
          <w:fldChar w:fldCharType="begin"/>
        </w:r>
        <w:r w:rsidR="000C6A7B">
          <w:rPr>
            <w:noProof/>
            <w:webHidden/>
          </w:rPr>
          <w:instrText xml:space="preserve"> PAGEREF _Toc112748996 \h </w:instrText>
        </w:r>
        <w:r w:rsidR="000C6A7B">
          <w:rPr>
            <w:noProof/>
            <w:webHidden/>
          </w:rPr>
        </w:r>
        <w:r w:rsidR="000C6A7B">
          <w:rPr>
            <w:noProof/>
            <w:webHidden/>
          </w:rPr>
          <w:fldChar w:fldCharType="separate"/>
        </w:r>
        <w:r w:rsidR="000C6A7B">
          <w:rPr>
            <w:noProof/>
            <w:webHidden/>
          </w:rPr>
          <w:t>10</w:t>
        </w:r>
        <w:r w:rsidR="000C6A7B">
          <w:rPr>
            <w:noProof/>
            <w:webHidden/>
          </w:rPr>
          <w:fldChar w:fldCharType="end"/>
        </w:r>
      </w:hyperlink>
    </w:p>
    <w:p w14:paraId="5C97CB37" w14:textId="7C1CA928" w:rsidR="000C6A7B" w:rsidRDefault="00000000">
      <w:pPr>
        <w:pStyle w:val="TM1"/>
        <w:tabs>
          <w:tab w:val="right" w:leader="dot" w:pos="9062"/>
        </w:tabs>
        <w:rPr>
          <w:rFonts w:eastAsiaTheme="minorEastAsia"/>
          <w:noProof/>
          <w:sz w:val="24"/>
          <w:szCs w:val="24"/>
          <w:lang w:eastAsia="fr-FR"/>
        </w:rPr>
      </w:pPr>
      <w:hyperlink w:anchor="_Toc112748997" w:history="1">
        <w:r w:rsidR="000C6A7B" w:rsidRPr="002F7940">
          <w:rPr>
            <w:rStyle w:val="Lienhypertexte"/>
            <w:noProof/>
          </w:rPr>
          <w:t>5. Définitions actuelles du CPE</w:t>
        </w:r>
        <w:r w:rsidR="000C6A7B">
          <w:rPr>
            <w:noProof/>
            <w:webHidden/>
          </w:rPr>
          <w:tab/>
        </w:r>
        <w:r w:rsidR="000C6A7B">
          <w:rPr>
            <w:noProof/>
            <w:webHidden/>
          </w:rPr>
          <w:fldChar w:fldCharType="begin"/>
        </w:r>
        <w:r w:rsidR="000C6A7B">
          <w:rPr>
            <w:noProof/>
            <w:webHidden/>
          </w:rPr>
          <w:instrText xml:space="preserve"> PAGEREF _Toc112748997 \h </w:instrText>
        </w:r>
        <w:r w:rsidR="000C6A7B">
          <w:rPr>
            <w:noProof/>
            <w:webHidden/>
          </w:rPr>
        </w:r>
        <w:r w:rsidR="000C6A7B">
          <w:rPr>
            <w:noProof/>
            <w:webHidden/>
          </w:rPr>
          <w:fldChar w:fldCharType="separate"/>
        </w:r>
        <w:r w:rsidR="000C6A7B">
          <w:rPr>
            <w:noProof/>
            <w:webHidden/>
          </w:rPr>
          <w:t>10</w:t>
        </w:r>
        <w:r w:rsidR="000C6A7B">
          <w:rPr>
            <w:noProof/>
            <w:webHidden/>
          </w:rPr>
          <w:fldChar w:fldCharType="end"/>
        </w:r>
      </w:hyperlink>
    </w:p>
    <w:p w14:paraId="465BDAB7" w14:textId="3FD34530" w:rsidR="000C6A7B" w:rsidRDefault="00000000">
      <w:pPr>
        <w:pStyle w:val="TM1"/>
        <w:tabs>
          <w:tab w:val="right" w:leader="dot" w:pos="9062"/>
        </w:tabs>
        <w:rPr>
          <w:rFonts w:eastAsiaTheme="minorEastAsia"/>
          <w:noProof/>
          <w:sz w:val="24"/>
          <w:szCs w:val="24"/>
          <w:lang w:eastAsia="fr-FR"/>
        </w:rPr>
      </w:pPr>
      <w:hyperlink w:anchor="_Toc112748998" w:history="1">
        <w:r w:rsidR="000C6A7B" w:rsidRPr="002F7940">
          <w:rPr>
            <w:rStyle w:val="Lienhypertexte"/>
            <w:noProof/>
          </w:rPr>
          <w:t>6. Familles de CPE</w:t>
        </w:r>
        <w:r w:rsidR="000C6A7B">
          <w:rPr>
            <w:noProof/>
            <w:webHidden/>
          </w:rPr>
          <w:tab/>
        </w:r>
        <w:r w:rsidR="000C6A7B">
          <w:rPr>
            <w:noProof/>
            <w:webHidden/>
          </w:rPr>
          <w:fldChar w:fldCharType="begin"/>
        </w:r>
        <w:r w:rsidR="000C6A7B">
          <w:rPr>
            <w:noProof/>
            <w:webHidden/>
          </w:rPr>
          <w:instrText xml:space="preserve"> PAGEREF _Toc112748998 \h </w:instrText>
        </w:r>
        <w:r w:rsidR="000C6A7B">
          <w:rPr>
            <w:noProof/>
            <w:webHidden/>
          </w:rPr>
        </w:r>
        <w:r w:rsidR="000C6A7B">
          <w:rPr>
            <w:noProof/>
            <w:webHidden/>
          </w:rPr>
          <w:fldChar w:fldCharType="separate"/>
        </w:r>
        <w:r w:rsidR="000C6A7B">
          <w:rPr>
            <w:noProof/>
            <w:webHidden/>
          </w:rPr>
          <w:t>11</w:t>
        </w:r>
        <w:r w:rsidR="000C6A7B">
          <w:rPr>
            <w:noProof/>
            <w:webHidden/>
          </w:rPr>
          <w:fldChar w:fldCharType="end"/>
        </w:r>
      </w:hyperlink>
    </w:p>
    <w:p w14:paraId="4CE2813C" w14:textId="1D8CD48D" w:rsidR="000C6A7B" w:rsidRDefault="00000000">
      <w:pPr>
        <w:pStyle w:val="TM1"/>
        <w:tabs>
          <w:tab w:val="right" w:leader="dot" w:pos="9062"/>
        </w:tabs>
        <w:rPr>
          <w:rFonts w:eastAsiaTheme="minorEastAsia"/>
          <w:noProof/>
          <w:sz w:val="24"/>
          <w:szCs w:val="24"/>
          <w:lang w:eastAsia="fr-FR"/>
        </w:rPr>
      </w:pPr>
      <w:hyperlink w:anchor="_Toc112748999" w:history="1">
        <w:r w:rsidR="000C6A7B" w:rsidRPr="002F7940">
          <w:rPr>
            <w:rStyle w:val="Lienhypertexte"/>
            <w:noProof/>
          </w:rPr>
          <w:t>7. Objectifs du CPE</w:t>
        </w:r>
        <w:r w:rsidR="000C6A7B">
          <w:rPr>
            <w:noProof/>
            <w:webHidden/>
          </w:rPr>
          <w:tab/>
        </w:r>
        <w:r w:rsidR="000C6A7B">
          <w:rPr>
            <w:noProof/>
            <w:webHidden/>
          </w:rPr>
          <w:fldChar w:fldCharType="begin"/>
        </w:r>
        <w:r w:rsidR="000C6A7B">
          <w:rPr>
            <w:noProof/>
            <w:webHidden/>
          </w:rPr>
          <w:instrText xml:space="preserve"> PAGEREF _Toc112748999 \h </w:instrText>
        </w:r>
        <w:r w:rsidR="000C6A7B">
          <w:rPr>
            <w:noProof/>
            <w:webHidden/>
          </w:rPr>
        </w:r>
        <w:r w:rsidR="000C6A7B">
          <w:rPr>
            <w:noProof/>
            <w:webHidden/>
          </w:rPr>
          <w:fldChar w:fldCharType="separate"/>
        </w:r>
        <w:r w:rsidR="000C6A7B">
          <w:rPr>
            <w:noProof/>
            <w:webHidden/>
          </w:rPr>
          <w:t>12</w:t>
        </w:r>
        <w:r w:rsidR="000C6A7B">
          <w:rPr>
            <w:noProof/>
            <w:webHidden/>
          </w:rPr>
          <w:fldChar w:fldCharType="end"/>
        </w:r>
      </w:hyperlink>
    </w:p>
    <w:p w14:paraId="2884C413" w14:textId="6CC4C3B1" w:rsidR="000C6A7B" w:rsidRDefault="00000000">
      <w:pPr>
        <w:pStyle w:val="TM1"/>
        <w:tabs>
          <w:tab w:val="right" w:leader="dot" w:pos="9062"/>
        </w:tabs>
        <w:rPr>
          <w:rFonts w:eastAsiaTheme="minorEastAsia"/>
          <w:noProof/>
          <w:sz w:val="24"/>
          <w:szCs w:val="24"/>
          <w:lang w:eastAsia="fr-FR"/>
        </w:rPr>
      </w:pPr>
      <w:hyperlink w:anchor="_Toc112749000" w:history="1">
        <w:r w:rsidR="000C6A7B" w:rsidRPr="002F7940">
          <w:rPr>
            <w:rStyle w:val="Lienhypertexte"/>
            <w:noProof/>
          </w:rPr>
          <w:t>8. Durée du CPE</w:t>
        </w:r>
        <w:r w:rsidR="000C6A7B">
          <w:rPr>
            <w:noProof/>
            <w:webHidden/>
          </w:rPr>
          <w:tab/>
        </w:r>
        <w:r w:rsidR="000C6A7B">
          <w:rPr>
            <w:noProof/>
            <w:webHidden/>
          </w:rPr>
          <w:fldChar w:fldCharType="begin"/>
        </w:r>
        <w:r w:rsidR="000C6A7B">
          <w:rPr>
            <w:noProof/>
            <w:webHidden/>
          </w:rPr>
          <w:instrText xml:space="preserve"> PAGEREF _Toc112749000 \h </w:instrText>
        </w:r>
        <w:r w:rsidR="000C6A7B">
          <w:rPr>
            <w:noProof/>
            <w:webHidden/>
          </w:rPr>
        </w:r>
        <w:r w:rsidR="000C6A7B">
          <w:rPr>
            <w:noProof/>
            <w:webHidden/>
          </w:rPr>
          <w:fldChar w:fldCharType="separate"/>
        </w:r>
        <w:r w:rsidR="000C6A7B">
          <w:rPr>
            <w:noProof/>
            <w:webHidden/>
          </w:rPr>
          <w:t>13</w:t>
        </w:r>
        <w:r w:rsidR="000C6A7B">
          <w:rPr>
            <w:noProof/>
            <w:webHidden/>
          </w:rPr>
          <w:fldChar w:fldCharType="end"/>
        </w:r>
      </w:hyperlink>
    </w:p>
    <w:p w14:paraId="0862C840" w14:textId="4529FE01" w:rsidR="000C6A7B" w:rsidRDefault="00000000">
      <w:pPr>
        <w:pStyle w:val="TM1"/>
        <w:tabs>
          <w:tab w:val="right" w:leader="dot" w:pos="9062"/>
        </w:tabs>
        <w:rPr>
          <w:rFonts w:eastAsiaTheme="minorEastAsia"/>
          <w:noProof/>
          <w:sz w:val="24"/>
          <w:szCs w:val="24"/>
          <w:lang w:eastAsia="fr-FR"/>
        </w:rPr>
      </w:pPr>
      <w:hyperlink w:anchor="_Toc112749001" w:history="1">
        <w:r w:rsidR="000C6A7B" w:rsidRPr="002F7940">
          <w:rPr>
            <w:rStyle w:val="Lienhypertexte"/>
            <w:noProof/>
          </w:rPr>
          <w:t>9. Procédures de passation</w:t>
        </w:r>
        <w:r w:rsidR="000C6A7B">
          <w:rPr>
            <w:noProof/>
            <w:webHidden/>
          </w:rPr>
          <w:tab/>
        </w:r>
        <w:r w:rsidR="000C6A7B">
          <w:rPr>
            <w:noProof/>
            <w:webHidden/>
          </w:rPr>
          <w:fldChar w:fldCharType="begin"/>
        </w:r>
        <w:r w:rsidR="000C6A7B">
          <w:rPr>
            <w:noProof/>
            <w:webHidden/>
          </w:rPr>
          <w:instrText xml:space="preserve"> PAGEREF _Toc112749001 \h </w:instrText>
        </w:r>
        <w:r w:rsidR="000C6A7B">
          <w:rPr>
            <w:noProof/>
            <w:webHidden/>
          </w:rPr>
        </w:r>
        <w:r w:rsidR="000C6A7B">
          <w:rPr>
            <w:noProof/>
            <w:webHidden/>
          </w:rPr>
          <w:fldChar w:fldCharType="separate"/>
        </w:r>
        <w:r w:rsidR="000C6A7B">
          <w:rPr>
            <w:noProof/>
            <w:webHidden/>
          </w:rPr>
          <w:t>13</w:t>
        </w:r>
        <w:r w:rsidR="000C6A7B">
          <w:rPr>
            <w:noProof/>
            <w:webHidden/>
          </w:rPr>
          <w:fldChar w:fldCharType="end"/>
        </w:r>
      </w:hyperlink>
    </w:p>
    <w:p w14:paraId="50A8ED55" w14:textId="18E5F198" w:rsidR="000C6A7B" w:rsidRDefault="00000000">
      <w:pPr>
        <w:pStyle w:val="TM1"/>
        <w:tabs>
          <w:tab w:val="right" w:leader="dot" w:pos="9062"/>
        </w:tabs>
        <w:rPr>
          <w:rFonts w:eastAsiaTheme="minorEastAsia"/>
          <w:noProof/>
          <w:sz w:val="24"/>
          <w:szCs w:val="24"/>
          <w:lang w:eastAsia="fr-FR"/>
        </w:rPr>
      </w:pPr>
      <w:hyperlink w:anchor="_Toc112749002" w:history="1">
        <w:r w:rsidR="000C6A7B" w:rsidRPr="002F7940">
          <w:rPr>
            <w:rStyle w:val="Lienhypertexte"/>
            <w:noProof/>
          </w:rPr>
          <w:t>10. Garantie de performance énergétique</w:t>
        </w:r>
        <w:r w:rsidR="000C6A7B">
          <w:rPr>
            <w:noProof/>
            <w:webHidden/>
          </w:rPr>
          <w:tab/>
        </w:r>
        <w:r w:rsidR="000C6A7B">
          <w:rPr>
            <w:noProof/>
            <w:webHidden/>
          </w:rPr>
          <w:fldChar w:fldCharType="begin"/>
        </w:r>
        <w:r w:rsidR="000C6A7B">
          <w:rPr>
            <w:noProof/>
            <w:webHidden/>
          </w:rPr>
          <w:instrText xml:space="preserve"> PAGEREF _Toc112749002 \h </w:instrText>
        </w:r>
        <w:r w:rsidR="000C6A7B">
          <w:rPr>
            <w:noProof/>
            <w:webHidden/>
          </w:rPr>
        </w:r>
        <w:r w:rsidR="000C6A7B">
          <w:rPr>
            <w:noProof/>
            <w:webHidden/>
          </w:rPr>
          <w:fldChar w:fldCharType="separate"/>
        </w:r>
        <w:r w:rsidR="000C6A7B">
          <w:rPr>
            <w:noProof/>
            <w:webHidden/>
          </w:rPr>
          <w:t>14</w:t>
        </w:r>
        <w:r w:rsidR="000C6A7B">
          <w:rPr>
            <w:noProof/>
            <w:webHidden/>
          </w:rPr>
          <w:fldChar w:fldCharType="end"/>
        </w:r>
      </w:hyperlink>
    </w:p>
    <w:p w14:paraId="7BA5A48D" w14:textId="6C519BB4" w:rsidR="000C6A7B" w:rsidRDefault="00000000">
      <w:pPr>
        <w:pStyle w:val="TM2"/>
        <w:tabs>
          <w:tab w:val="right" w:leader="dot" w:pos="9062"/>
        </w:tabs>
        <w:rPr>
          <w:rFonts w:eastAsiaTheme="minorEastAsia" w:cstheme="minorBidi"/>
          <w:smallCaps w:val="0"/>
          <w:noProof/>
          <w:sz w:val="24"/>
          <w:szCs w:val="24"/>
          <w:lang w:eastAsia="fr-FR"/>
        </w:rPr>
      </w:pPr>
      <w:hyperlink w:anchor="_Toc112749003" w:history="1">
        <w:r w:rsidR="000C6A7B" w:rsidRPr="002F7940">
          <w:rPr>
            <w:rStyle w:val="Lienhypertexte"/>
            <w:noProof/>
          </w:rPr>
          <w:t>10.1. Situation de Référence</w:t>
        </w:r>
        <w:r w:rsidR="000C6A7B">
          <w:rPr>
            <w:noProof/>
            <w:webHidden/>
          </w:rPr>
          <w:tab/>
        </w:r>
        <w:r w:rsidR="000C6A7B">
          <w:rPr>
            <w:noProof/>
            <w:webHidden/>
          </w:rPr>
          <w:fldChar w:fldCharType="begin"/>
        </w:r>
        <w:r w:rsidR="000C6A7B">
          <w:rPr>
            <w:noProof/>
            <w:webHidden/>
          </w:rPr>
          <w:instrText xml:space="preserve"> PAGEREF _Toc112749003 \h </w:instrText>
        </w:r>
        <w:r w:rsidR="000C6A7B">
          <w:rPr>
            <w:noProof/>
            <w:webHidden/>
          </w:rPr>
        </w:r>
        <w:r w:rsidR="000C6A7B">
          <w:rPr>
            <w:noProof/>
            <w:webHidden/>
          </w:rPr>
          <w:fldChar w:fldCharType="separate"/>
        </w:r>
        <w:r w:rsidR="000C6A7B">
          <w:rPr>
            <w:noProof/>
            <w:webHidden/>
          </w:rPr>
          <w:t>15</w:t>
        </w:r>
        <w:r w:rsidR="000C6A7B">
          <w:rPr>
            <w:noProof/>
            <w:webHidden/>
          </w:rPr>
          <w:fldChar w:fldCharType="end"/>
        </w:r>
      </w:hyperlink>
    </w:p>
    <w:p w14:paraId="1CA6AACA" w14:textId="5E138862" w:rsidR="000C6A7B" w:rsidRDefault="00000000">
      <w:pPr>
        <w:pStyle w:val="TM2"/>
        <w:tabs>
          <w:tab w:val="right" w:leader="dot" w:pos="9062"/>
        </w:tabs>
        <w:rPr>
          <w:rFonts w:eastAsiaTheme="minorEastAsia" w:cstheme="minorBidi"/>
          <w:smallCaps w:val="0"/>
          <w:noProof/>
          <w:sz w:val="24"/>
          <w:szCs w:val="24"/>
          <w:lang w:eastAsia="fr-FR"/>
        </w:rPr>
      </w:pPr>
      <w:hyperlink w:anchor="_Toc112749004" w:history="1">
        <w:r w:rsidR="000C6A7B" w:rsidRPr="002F7940">
          <w:rPr>
            <w:rStyle w:val="Lienhypertexte"/>
            <w:noProof/>
          </w:rPr>
          <w:t>10.2. Plan de Mesures et Vérifications et Causes d’Ajustement</w:t>
        </w:r>
        <w:r w:rsidR="000C6A7B">
          <w:rPr>
            <w:noProof/>
            <w:webHidden/>
          </w:rPr>
          <w:tab/>
        </w:r>
        <w:r w:rsidR="000C6A7B">
          <w:rPr>
            <w:noProof/>
            <w:webHidden/>
          </w:rPr>
          <w:fldChar w:fldCharType="begin"/>
        </w:r>
        <w:r w:rsidR="000C6A7B">
          <w:rPr>
            <w:noProof/>
            <w:webHidden/>
          </w:rPr>
          <w:instrText xml:space="preserve"> PAGEREF _Toc112749004 \h </w:instrText>
        </w:r>
        <w:r w:rsidR="000C6A7B">
          <w:rPr>
            <w:noProof/>
            <w:webHidden/>
          </w:rPr>
        </w:r>
        <w:r w:rsidR="000C6A7B">
          <w:rPr>
            <w:noProof/>
            <w:webHidden/>
          </w:rPr>
          <w:fldChar w:fldCharType="separate"/>
        </w:r>
        <w:r w:rsidR="000C6A7B">
          <w:rPr>
            <w:noProof/>
            <w:webHidden/>
          </w:rPr>
          <w:t>16</w:t>
        </w:r>
        <w:r w:rsidR="000C6A7B">
          <w:rPr>
            <w:noProof/>
            <w:webHidden/>
          </w:rPr>
          <w:fldChar w:fldCharType="end"/>
        </w:r>
      </w:hyperlink>
    </w:p>
    <w:p w14:paraId="40F2BAB5" w14:textId="3941B655" w:rsidR="000C6A7B" w:rsidRDefault="00000000">
      <w:pPr>
        <w:pStyle w:val="TM2"/>
        <w:tabs>
          <w:tab w:val="right" w:leader="dot" w:pos="9062"/>
        </w:tabs>
        <w:rPr>
          <w:rFonts w:eastAsiaTheme="minorEastAsia" w:cstheme="minorBidi"/>
          <w:smallCaps w:val="0"/>
          <w:noProof/>
          <w:sz w:val="24"/>
          <w:szCs w:val="24"/>
          <w:lang w:eastAsia="fr-FR"/>
        </w:rPr>
      </w:pPr>
      <w:hyperlink w:anchor="_Toc112749005" w:history="1">
        <w:r w:rsidR="000C6A7B" w:rsidRPr="002F7940">
          <w:rPr>
            <w:rStyle w:val="Lienhypertexte"/>
            <w:noProof/>
          </w:rPr>
          <w:t>10.3. Tunnel de Neutralisation</w:t>
        </w:r>
        <w:r w:rsidR="000C6A7B">
          <w:rPr>
            <w:noProof/>
            <w:webHidden/>
          </w:rPr>
          <w:tab/>
        </w:r>
        <w:r w:rsidR="000C6A7B">
          <w:rPr>
            <w:noProof/>
            <w:webHidden/>
          </w:rPr>
          <w:fldChar w:fldCharType="begin"/>
        </w:r>
        <w:r w:rsidR="000C6A7B">
          <w:rPr>
            <w:noProof/>
            <w:webHidden/>
          </w:rPr>
          <w:instrText xml:space="preserve"> PAGEREF _Toc112749005 \h </w:instrText>
        </w:r>
        <w:r w:rsidR="000C6A7B">
          <w:rPr>
            <w:noProof/>
            <w:webHidden/>
          </w:rPr>
        </w:r>
        <w:r w:rsidR="000C6A7B">
          <w:rPr>
            <w:noProof/>
            <w:webHidden/>
          </w:rPr>
          <w:fldChar w:fldCharType="separate"/>
        </w:r>
        <w:r w:rsidR="000C6A7B">
          <w:rPr>
            <w:noProof/>
            <w:webHidden/>
          </w:rPr>
          <w:t>17</w:t>
        </w:r>
        <w:r w:rsidR="000C6A7B">
          <w:rPr>
            <w:noProof/>
            <w:webHidden/>
          </w:rPr>
          <w:fldChar w:fldCharType="end"/>
        </w:r>
      </w:hyperlink>
    </w:p>
    <w:p w14:paraId="3AF19BDA" w14:textId="0D2E18D3" w:rsidR="000C6A7B" w:rsidRDefault="00000000">
      <w:pPr>
        <w:pStyle w:val="TM2"/>
        <w:tabs>
          <w:tab w:val="right" w:leader="dot" w:pos="9062"/>
        </w:tabs>
        <w:rPr>
          <w:rFonts w:eastAsiaTheme="minorEastAsia" w:cstheme="minorBidi"/>
          <w:smallCaps w:val="0"/>
          <w:noProof/>
          <w:sz w:val="24"/>
          <w:szCs w:val="24"/>
          <w:lang w:eastAsia="fr-FR"/>
        </w:rPr>
      </w:pPr>
      <w:hyperlink w:anchor="_Toc112749006" w:history="1">
        <w:r w:rsidR="000C6A7B" w:rsidRPr="002F7940">
          <w:rPr>
            <w:rStyle w:val="Lienhypertexte"/>
            <w:noProof/>
          </w:rPr>
          <w:t>10.4. Conséquences de la sous-performance : Garantie de Performance Énergétique</w:t>
        </w:r>
        <w:r w:rsidR="000C6A7B">
          <w:rPr>
            <w:noProof/>
            <w:webHidden/>
          </w:rPr>
          <w:tab/>
        </w:r>
        <w:r w:rsidR="000C6A7B">
          <w:rPr>
            <w:noProof/>
            <w:webHidden/>
          </w:rPr>
          <w:fldChar w:fldCharType="begin"/>
        </w:r>
        <w:r w:rsidR="000C6A7B">
          <w:rPr>
            <w:noProof/>
            <w:webHidden/>
          </w:rPr>
          <w:instrText xml:space="preserve"> PAGEREF _Toc112749006 \h </w:instrText>
        </w:r>
        <w:r w:rsidR="000C6A7B">
          <w:rPr>
            <w:noProof/>
            <w:webHidden/>
          </w:rPr>
        </w:r>
        <w:r w:rsidR="000C6A7B">
          <w:rPr>
            <w:noProof/>
            <w:webHidden/>
          </w:rPr>
          <w:fldChar w:fldCharType="separate"/>
        </w:r>
        <w:r w:rsidR="000C6A7B">
          <w:rPr>
            <w:noProof/>
            <w:webHidden/>
          </w:rPr>
          <w:t>17</w:t>
        </w:r>
        <w:r w:rsidR="000C6A7B">
          <w:rPr>
            <w:noProof/>
            <w:webHidden/>
          </w:rPr>
          <w:fldChar w:fldCharType="end"/>
        </w:r>
      </w:hyperlink>
    </w:p>
    <w:p w14:paraId="61F4DBD3" w14:textId="64779D13" w:rsidR="000C6A7B" w:rsidRDefault="00000000">
      <w:pPr>
        <w:pStyle w:val="TM2"/>
        <w:tabs>
          <w:tab w:val="right" w:leader="dot" w:pos="9062"/>
        </w:tabs>
        <w:rPr>
          <w:rFonts w:eastAsiaTheme="minorEastAsia" w:cstheme="minorBidi"/>
          <w:smallCaps w:val="0"/>
          <w:noProof/>
          <w:sz w:val="24"/>
          <w:szCs w:val="24"/>
          <w:lang w:eastAsia="fr-FR"/>
        </w:rPr>
      </w:pPr>
      <w:hyperlink w:anchor="_Toc112749007" w:history="1">
        <w:r w:rsidR="000C6A7B" w:rsidRPr="002F7940">
          <w:rPr>
            <w:rStyle w:val="Lienhypertexte"/>
            <w:noProof/>
          </w:rPr>
          <w:t>10.5. Conséquences de la sur-performance : l’intéressement</w:t>
        </w:r>
        <w:r w:rsidR="000C6A7B">
          <w:rPr>
            <w:noProof/>
            <w:webHidden/>
          </w:rPr>
          <w:tab/>
        </w:r>
        <w:r w:rsidR="000C6A7B">
          <w:rPr>
            <w:noProof/>
            <w:webHidden/>
          </w:rPr>
          <w:fldChar w:fldCharType="begin"/>
        </w:r>
        <w:r w:rsidR="000C6A7B">
          <w:rPr>
            <w:noProof/>
            <w:webHidden/>
          </w:rPr>
          <w:instrText xml:space="preserve"> PAGEREF _Toc112749007 \h </w:instrText>
        </w:r>
        <w:r w:rsidR="000C6A7B">
          <w:rPr>
            <w:noProof/>
            <w:webHidden/>
          </w:rPr>
        </w:r>
        <w:r w:rsidR="000C6A7B">
          <w:rPr>
            <w:noProof/>
            <w:webHidden/>
          </w:rPr>
          <w:fldChar w:fldCharType="separate"/>
        </w:r>
        <w:r w:rsidR="000C6A7B">
          <w:rPr>
            <w:noProof/>
            <w:webHidden/>
          </w:rPr>
          <w:t>18</w:t>
        </w:r>
        <w:r w:rsidR="000C6A7B">
          <w:rPr>
            <w:noProof/>
            <w:webHidden/>
          </w:rPr>
          <w:fldChar w:fldCharType="end"/>
        </w:r>
      </w:hyperlink>
    </w:p>
    <w:p w14:paraId="09A2217F" w14:textId="4B7044A0" w:rsidR="000C6A7B" w:rsidRDefault="00000000">
      <w:pPr>
        <w:pStyle w:val="TM2"/>
        <w:tabs>
          <w:tab w:val="right" w:leader="dot" w:pos="9062"/>
        </w:tabs>
        <w:rPr>
          <w:rFonts w:eastAsiaTheme="minorEastAsia" w:cstheme="minorBidi"/>
          <w:smallCaps w:val="0"/>
          <w:noProof/>
          <w:sz w:val="24"/>
          <w:szCs w:val="24"/>
          <w:lang w:eastAsia="fr-FR"/>
        </w:rPr>
      </w:pPr>
      <w:hyperlink w:anchor="_Toc112749008" w:history="1">
        <w:r w:rsidR="000C6A7B" w:rsidRPr="002F7940">
          <w:rPr>
            <w:rStyle w:val="Lienhypertexte"/>
            <w:noProof/>
          </w:rPr>
          <w:t>10.6. Actions de sensibilisation des occupants et de formation des agents techniques</w:t>
        </w:r>
        <w:r w:rsidR="000C6A7B">
          <w:rPr>
            <w:noProof/>
            <w:webHidden/>
          </w:rPr>
          <w:tab/>
        </w:r>
        <w:r w:rsidR="000C6A7B">
          <w:rPr>
            <w:noProof/>
            <w:webHidden/>
          </w:rPr>
          <w:fldChar w:fldCharType="begin"/>
        </w:r>
        <w:r w:rsidR="000C6A7B">
          <w:rPr>
            <w:noProof/>
            <w:webHidden/>
          </w:rPr>
          <w:instrText xml:space="preserve"> PAGEREF _Toc112749008 \h </w:instrText>
        </w:r>
        <w:r w:rsidR="000C6A7B">
          <w:rPr>
            <w:noProof/>
            <w:webHidden/>
          </w:rPr>
        </w:r>
        <w:r w:rsidR="000C6A7B">
          <w:rPr>
            <w:noProof/>
            <w:webHidden/>
          </w:rPr>
          <w:fldChar w:fldCharType="separate"/>
        </w:r>
        <w:r w:rsidR="000C6A7B">
          <w:rPr>
            <w:noProof/>
            <w:webHidden/>
          </w:rPr>
          <w:t>19</w:t>
        </w:r>
        <w:r w:rsidR="000C6A7B">
          <w:rPr>
            <w:noProof/>
            <w:webHidden/>
          </w:rPr>
          <w:fldChar w:fldCharType="end"/>
        </w:r>
      </w:hyperlink>
    </w:p>
    <w:p w14:paraId="2BEBB192" w14:textId="72F36B4D" w:rsidR="000C6A7B" w:rsidRDefault="00000000">
      <w:pPr>
        <w:pStyle w:val="TM2"/>
        <w:tabs>
          <w:tab w:val="right" w:leader="dot" w:pos="9062"/>
        </w:tabs>
        <w:rPr>
          <w:rFonts w:eastAsiaTheme="minorEastAsia" w:cstheme="minorBidi"/>
          <w:smallCaps w:val="0"/>
          <w:noProof/>
          <w:sz w:val="24"/>
          <w:szCs w:val="24"/>
          <w:lang w:eastAsia="fr-FR"/>
        </w:rPr>
      </w:pPr>
      <w:hyperlink w:anchor="_Toc112749009" w:history="1">
        <w:r w:rsidR="000C6A7B" w:rsidRPr="002F7940">
          <w:rPr>
            <w:rStyle w:val="Lienhypertexte"/>
            <w:noProof/>
          </w:rPr>
          <w:t>10.7. Garantie financière de la Garantie de Performance Énergétique</w:t>
        </w:r>
        <w:r w:rsidR="000C6A7B">
          <w:rPr>
            <w:noProof/>
            <w:webHidden/>
          </w:rPr>
          <w:tab/>
        </w:r>
        <w:r w:rsidR="000C6A7B">
          <w:rPr>
            <w:noProof/>
            <w:webHidden/>
          </w:rPr>
          <w:fldChar w:fldCharType="begin"/>
        </w:r>
        <w:r w:rsidR="000C6A7B">
          <w:rPr>
            <w:noProof/>
            <w:webHidden/>
          </w:rPr>
          <w:instrText xml:space="preserve"> PAGEREF _Toc112749009 \h </w:instrText>
        </w:r>
        <w:r w:rsidR="000C6A7B">
          <w:rPr>
            <w:noProof/>
            <w:webHidden/>
          </w:rPr>
        </w:r>
        <w:r w:rsidR="000C6A7B">
          <w:rPr>
            <w:noProof/>
            <w:webHidden/>
          </w:rPr>
          <w:fldChar w:fldCharType="separate"/>
        </w:r>
        <w:r w:rsidR="000C6A7B">
          <w:rPr>
            <w:noProof/>
            <w:webHidden/>
          </w:rPr>
          <w:t>19</w:t>
        </w:r>
        <w:r w:rsidR="000C6A7B">
          <w:rPr>
            <w:noProof/>
            <w:webHidden/>
          </w:rPr>
          <w:fldChar w:fldCharType="end"/>
        </w:r>
      </w:hyperlink>
    </w:p>
    <w:p w14:paraId="0C07FCDE" w14:textId="5626CE61" w:rsidR="000C6A7B" w:rsidRDefault="00000000">
      <w:pPr>
        <w:pStyle w:val="TM2"/>
        <w:tabs>
          <w:tab w:val="right" w:leader="dot" w:pos="9062"/>
        </w:tabs>
        <w:rPr>
          <w:rFonts w:eastAsiaTheme="minorEastAsia" w:cstheme="minorBidi"/>
          <w:smallCaps w:val="0"/>
          <w:noProof/>
          <w:sz w:val="24"/>
          <w:szCs w:val="24"/>
          <w:lang w:eastAsia="fr-FR"/>
        </w:rPr>
      </w:pPr>
      <w:hyperlink w:anchor="_Toc112749010" w:history="1">
        <w:r w:rsidR="000C6A7B" w:rsidRPr="002F7940">
          <w:rPr>
            <w:rStyle w:val="Lienhypertexte"/>
            <w:noProof/>
          </w:rPr>
          <w:t>10.8. Résiliation pour faute du Titulaire</w:t>
        </w:r>
        <w:r w:rsidR="000C6A7B">
          <w:rPr>
            <w:noProof/>
            <w:webHidden/>
          </w:rPr>
          <w:tab/>
        </w:r>
        <w:r w:rsidR="000C6A7B">
          <w:rPr>
            <w:noProof/>
            <w:webHidden/>
          </w:rPr>
          <w:fldChar w:fldCharType="begin"/>
        </w:r>
        <w:r w:rsidR="000C6A7B">
          <w:rPr>
            <w:noProof/>
            <w:webHidden/>
          </w:rPr>
          <w:instrText xml:space="preserve"> PAGEREF _Toc112749010 \h </w:instrText>
        </w:r>
        <w:r w:rsidR="000C6A7B">
          <w:rPr>
            <w:noProof/>
            <w:webHidden/>
          </w:rPr>
        </w:r>
        <w:r w:rsidR="000C6A7B">
          <w:rPr>
            <w:noProof/>
            <w:webHidden/>
          </w:rPr>
          <w:fldChar w:fldCharType="separate"/>
        </w:r>
        <w:r w:rsidR="000C6A7B">
          <w:rPr>
            <w:noProof/>
            <w:webHidden/>
          </w:rPr>
          <w:t>19</w:t>
        </w:r>
        <w:r w:rsidR="000C6A7B">
          <w:rPr>
            <w:noProof/>
            <w:webHidden/>
          </w:rPr>
          <w:fldChar w:fldCharType="end"/>
        </w:r>
      </w:hyperlink>
    </w:p>
    <w:p w14:paraId="297C876C" w14:textId="15ACB3F5" w:rsidR="000C6A7B" w:rsidRDefault="00000000">
      <w:pPr>
        <w:pStyle w:val="TM3"/>
        <w:tabs>
          <w:tab w:val="right" w:leader="dot" w:pos="9062"/>
        </w:tabs>
        <w:rPr>
          <w:rFonts w:eastAsiaTheme="minorEastAsia" w:cstheme="minorBidi"/>
          <w:i w:val="0"/>
          <w:iCs w:val="0"/>
          <w:noProof/>
          <w:sz w:val="24"/>
          <w:szCs w:val="24"/>
          <w:lang w:eastAsia="fr-FR"/>
        </w:rPr>
      </w:pPr>
      <w:hyperlink w:anchor="_Toc112749011" w:history="1">
        <w:r w:rsidR="000C6A7B" w:rsidRPr="002F7940">
          <w:rPr>
            <w:rStyle w:val="Lienhypertexte"/>
            <w:noProof/>
          </w:rPr>
          <w:t>10.8.1. Hypothèses de résiliation pour faute</w:t>
        </w:r>
        <w:r w:rsidR="000C6A7B">
          <w:rPr>
            <w:noProof/>
            <w:webHidden/>
          </w:rPr>
          <w:tab/>
        </w:r>
        <w:r w:rsidR="000C6A7B">
          <w:rPr>
            <w:noProof/>
            <w:webHidden/>
          </w:rPr>
          <w:fldChar w:fldCharType="begin"/>
        </w:r>
        <w:r w:rsidR="000C6A7B">
          <w:rPr>
            <w:noProof/>
            <w:webHidden/>
          </w:rPr>
          <w:instrText xml:space="preserve"> PAGEREF _Toc112749011 \h </w:instrText>
        </w:r>
        <w:r w:rsidR="000C6A7B">
          <w:rPr>
            <w:noProof/>
            <w:webHidden/>
          </w:rPr>
        </w:r>
        <w:r w:rsidR="000C6A7B">
          <w:rPr>
            <w:noProof/>
            <w:webHidden/>
          </w:rPr>
          <w:fldChar w:fldCharType="separate"/>
        </w:r>
        <w:r w:rsidR="000C6A7B">
          <w:rPr>
            <w:noProof/>
            <w:webHidden/>
          </w:rPr>
          <w:t>19</w:t>
        </w:r>
        <w:r w:rsidR="000C6A7B">
          <w:rPr>
            <w:noProof/>
            <w:webHidden/>
          </w:rPr>
          <w:fldChar w:fldCharType="end"/>
        </w:r>
      </w:hyperlink>
    </w:p>
    <w:p w14:paraId="29640B9C" w14:textId="6F8D9203" w:rsidR="000C6A7B" w:rsidRDefault="00000000">
      <w:pPr>
        <w:pStyle w:val="TM3"/>
        <w:tabs>
          <w:tab w:val="right" w:leader="dot" w:pos="9062"/>
        </w:tabs>
        <w:rPr>
          <w:rFonts w:eastAsiaTheme="minorEastAsia" w:cstheme="minorBidi"/>
          <w:i w:val="0"/>
          <w:iCs w:val="0"/>
          <w:noProof/>
          <w:sz w:val="24"/>
          <w:szCs w:val="24"/>
          <w:lang w:eastAsia="fr-FR"/>
        </w:rPr>
      </w:pPr>
      <w:hyperlink w:anchor="_Toc112749012" w:history="1">
        <w:r w:rsidR="000C6A7B" w:rsidRPr="002F7940">
          <w:rPr>
            <w:rStyle w:val="Lienhypertexte"/>
            <w:noProof/>
          </w:rPr>
          <w:t>10.8.2. Conséquences de la résiliation pour faute</w:t>
        </w:r>
        <w:r w:rsidR="000C6A7B">
          <w:rPr>
            <w:noProof/>
            <w:webHidden/>
          </w:rPr>
          <w:tab/>
        </w:r>
        <w:r w:rsidR="000C6A7B">
          <w:rPr>
            <w:noProof/>
            <w:webHidden/>
          </w:rPr>
          <w:fldChar w:fldCharType="begin"/>
        </w:r>
        <w:r w:rsidR="000C6A7B">
          <w:rPr>
            <w:noProof/>
            <w:webHidden/>
          </w:rPr>
          <w:instrText xml:space="preserve"> PAGEREF _Toc112749012 \h </w:instrText>
        </w:r>
        <w:r w:rsidR="000C6A7B">
          <w:rPr>
            <w:noProof/>
            <w:webHidden/>
          </w:rPr>
        </w:r>
        <w:r w:rsidR="000C6A7B">
          <w:rPr>
            <w:noProof/>
            <w:webHidden/>
          </w:rPr>
          <w:fldChar w:fldCharType="separate"/>
        </w:r>
        <w:r w:rsidR="000C6A7B">
          <w:rPr>
            <w:noProof/>
            <w:webHidden/>
          </w:rPr>
          <w:t>20</w:t>
        </w:r>
        <w:r w:rsidR="000C6A7B">
          <w:rPr>
            <w:noProof/>
            <w:webHidden/>
          </w:rPr>
          <w:fldChar w:fldCharType="end"/>
        </w:r>
      </w:hyperlink>
    </w:p>
    <w:p w14:paraId="7E1E1D2F" w14:textId="413A056C" w:rsidR="000C6A7B" w:rsidRDefault="00000000">
      <w:pPr>
        <w:pStyle w:val="TM1"/>
        <w:tabs>
          <w:tab w:val="right" w:leader="dot" w:pos="9062"/>
        </w:tabs>
        <w:rPr>
          <w:rFonts w:eastAsiaTheme="minorEastAsia"/>
          <w:noProof/>
          <w:sz w:val="24"/>
          <w:szCs w:val="24"/>
          <w:lang w:eastAsia="fr-FR"/>
        </w:rPr>
      </w:pPr>
      <w:hyperlink w:anchor="_Toc112749013" w:history="1">
        <w:r w:rsidR="000C6A7B" w:rsidRPr="002F7940">
          <w:rPr>
            <w:rStyle w:val="Lienhypertexte"/>
            <w:noProof/>
          </w:rPr>
          <w:t>11. CPE et dispositif éco énergie tertiaire</w:t>
        </w:r>
        <w:r w:rsidR="000C6A7B">
          <w:rPr>
            <w:noProof/>
            <w:webHidden/>
          </w:rPr>
          <w:tab/>
        </w:r>
        <w:r w:rsidR="000C6A7B">
          <w:rPr>
            <w:noProof/>
            <w:webHidden/>
          </w:rPr>
          <w:fldChar w:fldCharType="begin"/>
        </w:r>
        <w:r w:rsidR="000C6A7B">
          <w:rPr>
            <w:noProof/>
            <w:webHidden/>
          </w:rPr>
          <w:instrText xml:space="preserve"> PAGEREF _Toc112749013 \h </w:instrText>
        </w:r>
        <w:r w:rsidR="000C6A7B">
          <w:rPr>
            <w:noProof/>
            <w:webHidden/>
          </w:rPr>
        </w:r>
        <w:r w:rsidR="000C6A7B">
          <w:rPr>
            <w:noProof/>
            <w:webHidden/>
          </w:rPr>
          <w:fldChar w:fldCharType="separate"/>
        </w:r>
        <w:r w:rsidR="000C6A7B">
          <w:rPr>
            <w:noProof/>
            <w:webHidden/>
          </w:rPr>
          <w:t>20</w:t>
        </w:r>
        <w:r w:rsidR="000C6A7B">
          <w:rPr>
            <w:noProof/>
            <w:webHidden/>
          </w:rPr>
          <w:fldChar w:fldCharType="end"/>
        </w:r>
      </w:hyperlink>
    </w:p>
    <w:p w14:paraId="64529925" w14:textId="4A62C89C" w:rsidR="000C6A7B" w:rsidRDefault="00000000">
      <w:pPr>
        <w:pStyle w:val="TM2"/>
        <w:tabs>
          <w:tab w:val="right" w:leader="dot" w:pos="9062"/>
        </w:tabs>
        <w:rPr>
          <w:rFonts w:eastAsiaTheme="minorEastAsia" w:cstheme="minorBidi"/>
          <w:smallCaps w:val="0"/>
          <w:noProof/>
          <w:sz w:val="24"/>
          <w:szCs w:val="24"/>
          <w:lang w:eastAsia="fr-FR"/>
        </w:rPr>
      </w:pPr>
      <w:hyperlink w:anchor="_Toc112749014" w:history="1">
        <w:r w:rsidR="000C6A7B" w:rsidRPr="002F7940">
          <w:rPr>
            <w:rStyle w:val="Lienhypertexte"/>
            <w:noProof/>
          </w:rPr>
          <w:t>11.1. L’obligation de réduction des consommations d’énergie finale des bâtiments à usage tertiaire : le dispositif éco-énergie tertiaire</w:t>
        </w:r>
        <w:r w:rsidR="000C6A7B">
          <w:rPr>
            <w:noProof/>
            <w:webHidden/>
          </w:rPr>
          <w:tab/>
        </w:r>
        <w:r w:rsidR="000C6A7B">
          <w:rPr>
            <w:noProof/>
            <w:webHidden/>
          </w:rPr>
          <w:fldChar w:fldCharType="begin"/>
        </w:r>
        <w:r w:rsidR="000C6A7B">
          <w:rPr>
            <w:noProof/>
            <w:webHidden/>
          </w:rPr>
          <w:instrText xml:space="preserve"> PAGEREF _Toc112749014 \h </w:instrText>
        </w:r>
        <w:r w:rsidR="000C6A7B">
          <w:rPr>
            <w:noProof/>
            <w:webHidden/>
          </w:rPr>
        </w:r>
        <w:r w:rsidR="000C6A7B">
          <w:rPr>
            <w:noProof/>
            <w:webHidden/>
          </w:rPr>
          <w:fldChar w:fldCharType="separate"/>
        </w:r>
        <w:r w:rsidR="000C6A7B">
          <w:rPr>
            <w:noProof/>
            <w:webHidden/>
          </w:rPr>
          <w:t>20</w:t>
        </w:r>
        <w:r w:rsidR="000C6A7B">
          <w:rPr>
            <w:noProof/>
            <w:webHidden/>
          </w:rPr>
          <w:fldChar w:fldCharType="end"/>
        </w:r>
      </w:hyperlink>
    </w:p>
    <w:p w14:paraId="4FCA110F" w14:textId="01176B88" w:rsidR="000C6A7B" w:rsidRDefault="00000000">
      <w:pPr>
        <w:pStyle w:val="TM2"/>
        <w:tabs>
          <w:tab w:val="right" w:leader="dot" w:pos="9062"/>
        </w:tabs>
        <w:rPr>
          <w:rFonts w:eastAsiaTheme="minorEastAsia" w:cstheme="minorBidi"/>
          <w:smallCaps w:val="0"/>
          <w:noProof/>
          <w:sz w:val="24"/>
          <w:szCs w:val="24"/>
          <w:lang w:eastAsia="fr-FR"/>
        </w:rPr>
      </w:pPr>
      <w:hyperlink w:anchor="_Toc112749015" w:history="1">
        <w:r w:rsidR="000C6A7B" w:rsidRPr="002F7940">
          <w:rPr>
            <w:rStyle w:val="Lienhypertexte"/>
            <w:noProof/>
          </w:rPr>
          <w:t>11.2. Articulation entre le dispositif éco-énergie tertiaire et le CPE</w:t>
        </w:r>
        <w:r w:rsidR="000C6A7B">
          <w:rPr>
            <w:noProof/>
            <w:webHidden/>
          </w:rPr>
          <w:tab/>
        </w:r>
        <w:r w:rsidR="000C6A7B">
          <w:rPr>
            <w:noProof/>
            <w:webHidden/>
          </w:rPr>
          <w:fldChar w:fldCharType="begin"/>
        </w:r>
        <w:r w:rsidR="000C6A7B">
          <w:rPr>
            <w:noProof/>
            <w:webHidden/>
          </w:rPr>
          <w:instrText xml:space="preserve"> PAGEREF _Toc112749015 \h </w:instrText>
        </w:r>
        <w:r w:rsidR="000C6A7B">
          <w:rPr>
            <w:noProof/>
            <w:webHidden/>
          </w:rPr>
        </w:r>
        <w:r w:rsidR="000C6A7B">
          <w:rPr>
            <w:noProof/>
            <w:webHidden/>
          </w:rPr>
          <w:fldChar w:fldCharType="separate"/>
        </w:r>
        <w:r w:rsidR="000C6A7B">
          <w:rPr>
            <w:noProof/>
            <w:webHidden/>
          </w:rPr>
          <w:t>21</w:t>
        </w:r>
        <w:r w:rsidR="000C6A7B">
          <w:rPr>
            <w:noProof/>
            <w:webHidden/>
          </w:rPr>
          <w:fldChar w:fldCharType="end"/>
        </w:r>
      </w:hyperlink>
    </w:p>
    <w:p w14:paraId="15FD4684" w14:textId="3FEF4C2E" w:rsidR="000C6A7B" w:rsidRDefault="00000000">
      <w:pPr>
        <w:pStyle w:val="TM2"/>
        <w:tabs>
          <w:tab w:val="right" w:leader="dot" w:pos="9062"/>
        </w:tabs>
        <w:rPr>
          <w:rFonts w:eastAsiaTheme="minorEastAsia" w:cstheme="minorBidi"/>
          <w:smallCaps w:val="0"/>
          <w:noProof/>
          <w:sz w:val="24"/>
          <w:szCs w:val="24"/>
          <w:lang w:eastAsia="fr-FR"/>
        </w:rPr>
      </w:pPr>
      <w:hyperlink w:anchor="_Toc112749016" w:history="1">
        <w:r w:rsidR="000C6A7B" w:rsidRPr="002F7940">
          <w:rPr>
            <w:rStyle w:val="Lienhypertexte"/>
            <w:noProof/>
          </w:rPr>
          <w:t>11.3. Période de référence du CPE et année de référence du dispositif éco énergie tertiaire (décret tertiaire)</w:t>
        </w:r>
        <w:r w:rsidR="000C6A7B">
          <w:rPr>
            <w:noProof/>
            <w:webHidden/>
          </w:rPr>
          <w:tab/>
        </w:r>
        <w:r w:rsidR="000C6A7B">
          <w:rPr>
            <w:noProof/>
            <w:webHidden/>
          </w:rPr>
          <w:fldChar w:fldCharType="begin"/>
        </w:r>
        <w:r w:rsidR="000C6A7B">
          <w:rPr>
            <w:noProof/>
            <w:webHidden/>
          </w:rPr>
          <w:instrText xml:space="preserve"> PAGEREF _Toc112749016 \h </w:instrText>
        </w:r>
        <w:r w:rsidR="000C6A7B">
          <w:rPr>
            <w:noProof/>
            <w:webHidden/>
          </w:rPr>
        </w:r>
        <w:r w:rsidR="000C6A7B">
          <w:rPr>
            <w:noProof/>
            <w:webHidden/>
          </w:rPr>
          <w:fldChar w:fldCharType="separate"/>
        </w:r>
        <w:r w:rsidR="000C6A7B">
          <w:rPr>
            <w:noProof/>
            <w:webHidden/>
          </w:rPr>
          <w:t>22</w:t>
        </w:r>
        <w:r w:rsidR="000C6A7B">
          <w:rPr>
            <w:noProof/>
            <w:webHidden/>
          </w:rPr>
          <w:fldChar w:fldCharType="end"/>
        </w:r>
      </w:hyperlink>
    </w:p>
    <w:p w14:paraId="3086F62B" w14:textId="06DBD736" w:rsidR="000C6A7B" w:rsidRDefault="00000000">
      <w:pPr>
        <w:pStyle w:val="TM2"/>
        <w:tabs>
          <w:tab w:val="right" w:leader="dot" w:pos="9062"/>
        </w:tabs>
        <w:rPr>
          <w:rFonts w:eastAsiaTheme="minorEastAsia" w:cstheme="minorBidi"/>
          <w:smallCaps w:val="0"/>
          <w:noProof/>
          <w:sz w:val="24"/>
          <w:szCs w:val="24"/>
          <w:lang w:eastAsia="fr-FR"/>
        </w:rPr>
      </w:pPr>
      <w:hyperlink w:anchor="_Toc112749017" w:history="1">
        <w:r w:rsidR="000C6A7B" w:rsidRPr="002F7940">
          <w:rPr>
            <w:rStyle w:val="Lienhypertexte"/>
            <w:noProof/>
          </w:rPr>
          <w:t>11.4. Ajustements CPE et Ajustements dispositif éco énergie tertiaire</w:t>
        </w:r>
        <w:r w:rsidR="000C6A7B">
          <w:rPr>
            <w:noProof/>
            <w:webHidden/>
          </w:rPr>
          <w:tab/>
        </w:r>
        <w:r w:rsidR="000C6A7B">
          <w:rPr>
            <w:noProof/>
            <w:webHidden/>
          </w:rPr>
          <w:fldChar w:fldCharType="begin"/>
        </w:r>
        <w:r w:rsidR="000C6A7B">
          <w:rPr>
            <w:noProof/>
            <w:webHidden/>
          </w:rPr>
          <w:instrText xml:space="preserve"> PAGEREF _Toc112749017 \h </w:instrText>
        </w:r>
        <w:r w:rsidR="000C6A7B">
          <w:rPr>
            <w:noProof/>
            <w:webHidden/>
          </w:rPr>
        </w:r>
        <w:r w:rsidR="000C6A7B">
          <w:rPr>
            <w:noProof/>
            <w:webHidden/>
          </w:rPr>
          <w:fldChar w:fldCharType="separate"/>
        </w:r>
        <w:r w:rsidR="000C6A7B">
          <w:rPr>
            <w:noProof/>
            <w:webHidden/>
          </w:rPr>
          <w:t>22</w:t>
        </w:r>
        <w:r w:rsidR="000C6A7B">
          <w:rPr>
            <w:noProof/>
            <w:webHidden/>
          </w:rPr>
          <w:fldChar w:fldCharType="end"/>
        </w:r>
      </w:hyperlink>
    </w:p>
    <w:p w14:paraId="449E9CA6" w14:textId="41ED5193" w:rsidR="000C6A7B" w:rsidRDefault="00000000">
      <w:pPr>
        <w:pStyle w:val="TM1"/>
        <w:tabs>
          <w:tab w:val="right" w:leader="dot" w:pos="9062"/>
        </w:tabs>
        <w:rPr>
          <w:rFonts w:eastAsiaTheme="minorEastAsia"/>
          <w:noProof/>
          <w:sz w:val="24"/>
          <w:szCs w:val="24"/>
          <w:lang w:eastAsia="fr-FR"/>
        </w:rPr>
      </w:pPr>
      <w:hyperlink w:anchor="_Toc112749018" w:history="1">
        <w:r w:rsidR="000C6A7B" w:rsidRPr="002F7940">
          <w:rPr>
            <w:rStyle w:val="Lienhypertexte"/>
            <w:noProof/>
          </w:rPr>
          <w:t>Partie III - Organisation opérationnelle</w:t>
        </w:r>
        <w:r w:rsidR="000C6A7B">
          <w:rPr>
            <w:noProof/>
            <w:webHidden/>
          </w:rPr>
          <w:tab/>
        </w:r>
        <w:r w:rsidR="000C6A7B">
          <w:rPr>
            <w:noProof/>
            <w:webHidden/>
          </w:rPr>
          <w:fldChar w:fldCharType="begin"/>
        </w:r>
        <w:r w:rsidR="000C6A7B">
          <w:rPr>
            <w:noProof/>
            <w:webHidden/>
          </w:rPr>
          <w:instrText xml:space="preserve"> PAGEREF _Toc112749018 \h </w:instrText>
        </w:r>
        <w:r w:rsidR="000C6A7B">
          <w:rPr>
            <w:noProof/>
            <w:webHidden/>
          </w:rPr>
        </w:r>
        <w:r w:rsidR="000C6A7B">
          <w:rPr>
            <w:noProof/>
            <w:webHidden/>
          </w:rPr>
          <w:fldChar w:fldCharType="separate"/>
        </w:r>
        <w:r w:rsidR="000C6A7B">
          <w:rPr>
            <w:noProof/>
            <w:webHidden/>
          </w:rPr>
          <w:t>23</w:t>
        </w:r>
        <w:r w:rsidR="000C6A7B">
          <w:rPr>
            <w:noProof/>
            <w:webHidden/>
          </w:rPr>
          <w:fldChar w:fldCharType="end"/>
        </w:r>
      </w:hyperlink>
    </w:p>
    <w:p w14:paraId="13EC5BA8" w14:textId="2276BEDD" w:rsidR="000C6A7B" w:rsidRDefault="00000000">
      <w:pPr>
        <w:pStyle w:val="TM1"/>
        <w:tabs>
          <w:tab w:val="right" w:leader="dot" w:pos="9062"/>
        </w:tabs>
        <w:rPr>
          <w:rFonts w:eastAsiaTheme="minorEastAsia"/>
          <w:noProof/>
          <w:sz w:val="24"/>
          <w:szCs w:val="24"/>
          <w:lang w:eastAsia="fr-FR"/>
        </w:rPr>
      </w:pPr>
      <w:hyperlink w:anchor="_Toc112749019" w:history="1">
        <w:r w:rsidR="000C6A7B" w:rsidRPr="002F7940">
          <w:rPr>
            <w:rStyle w:val="Lienhypertexte"/>
            <w:noProof/>
          </w:rPr>
          <w:t>12. Les intervenants du CPE</w:t>
        </w:r>
        <w:r w:rsidR="000C6A7B">
          <w:rPr>
            <w:noProof/>
            <w:webHidden/>
          </w:rPr>
          <w:tab/>
        </w:r>
        <w:r w:rsidR="000C6A7B">
          <w:rPr>
            <w:noProof/>
            <w:webHidden/>
          </w:rPr>
          <w:fldChar w:fldCharType="begin"/>
        </w:r>
        <w:r w:rsidR="000C6A7B">
          <w:rPr>
            <w:noProof/>
            <w:webHidden/>
          </w:rPr>
          <w:instrText xml:space="preserve"> PAGEREF _Toc112749019 \h </w:instrText>
        </w:r>
        <w:r w:rsidR="000C6A7B">
          <w:rPr>
            <w:noProof/>
            <w:webHidden/>
          </w:rPr>
        </w:r>
        <w:r w:rsidR="000C6A7B">
          <w:rPr>
            <w:noProof/>
            <w:webHidden/>
          </w:rPr>
          <w:fldChar w:fldCharType="separate"/>
        </w:r>
        <w:r w:rsidR="000C6A7B">
          <w:rPr>
            <w:noProof/>
            <w:webHidden/>
          </w:rPr>
          <w:t>23</w:t>
        </w:r>
        <w:r w:rsidR="000C6A7B">
          <w:rPr>
            <w:noProof/>
            <w:webHidden/>
          </w:rPr>
          <w:fldChar w:fldCharType="end"/>
        </w:r>
      </w:hyperlink>
    </w:p>
    <w:p w14:paraId="6D84FD37" w14:textId="41CA0C47" w:rsidR="000C6A7B" w:rsidRDefault="00000000">
      <w:pPr>
        <w:pStyle w:val="TM2"/>
        <w:tabs>
          <w:tab w:val="right" w:leader="dot" w:pos="9062"/>
        </w:tabs>
        <w:rPr>
          <w:rFonts w:eastAsiaTheme="minorEastAsia" w:cstheme="minorBidi"/>
          <w:smallCaps w:val="0"/>
          <w:noProof/>
          <w:sz w:val="24"/>
          <w:szCs w:val="24"/>
          <w:lang w:eastAsia="fr-FR"/>
        </w:rPr>
      </w:pPr>
      <w:hyperlink w:anchor="_Toc112749020" w:history="1">
        <w:r w:rsidR="000C6A7B" w:rsidRPr="002F7940">
          <w:rPr>
            <w:rStyle w:val="Lienhypertexte"/>
            <w:noProof/>
          </w:rPr>
          <w:t>12.1. Le Maître d’Ouvrage</w:t>
        </w:r>
        <w:r w:rsidR="000C6A7B">
          <w:rPr>
            <w:noProof/>
            <w:webHidden/>
          </w:rPr>
          <w:tab/>
        </w:r>
        <w:r w:rsidR="000C6A7B">
          <w:rPr>
            <w:noProof/>
            <w:webHidden/>
          </w:rPr>
          <w:fldChar w:fldCharType="begin"/>
        </w:r>
        <w:r w:rsidR="000C6A7B">
          <w:rPr>
            <w:noProof/>
            <w:webHidden/>
          </w:rPr>
          <w:instrText xml:space="preserve"> PAGEREF _Toc112749020 \h </w:instrText>
        </w:r>
        <w:r w:rsidR="000C6A7B">
          <w:rPr>
            <w:noProof/>
            <w:webHidden/>
          </w:rPr>
        </w:r>
        <w:r w:rsidR="000C6A7B">
          <w:rPr>
            <w:noProof/>
            <w:webHidden/>
          </w:rPr>
          <w:fldChar w:fldCharType="separate"/>
        </w:r>
        <w:r w:rsidR="000C6A7B">
          <w:rPr>
            <w:noProof/>
            <w:webHidden/>
          </w:rPr>
          <w:t>23</w:t>
        </w:r>
        <w:r w:rsidR="000C6A7B">
          <w:rPr>
            <w:noProof/>
            <w:webHidden/>
          </w:rPr>
          <w:fldChar w:fldCharType="end"/>
        </w:r>
      </w:hyperlink>
    </w:p>
    <w:p w14:paraId="21F3283C" w14:textId="7466AC06" w:rsidR="000C6A7B" w:rsidRDefault="00000000">
      <w:pPr>
        <w:pStyle w:val="TM2"/>
        <w:tabs>
          <w:tab w:val="right" w:leader="dot" w:pos="9062"/>
        </w:tabs>
        <w:rPr>
          <w:rFonts w:eastAsiaTheme="minorEastAsia" w:cstheme="minorBidi"/>
          <w:smallCaps w:val="0"/>
          <w:noProof/>
          <w:sz w:val="24"/>
          <w:szCs w:val="24"/>
          <w:lang w:eastAsia="fr-FR"/>
        </w:rPr>
      </w:pPr>
      <w:hyperlink w:anchor="_Toc112749021" w:history="1">
        <w:r w:rsidR="000C6A7B" w:rsidRPr="002F7940">
          <w:rPr>
            <w:rStyle w:val="Lienhypertexte"/>
            <w:noProof/>
          </w:rPr>
          <w:t>12.2. L’assistant à maîtrise d’ouvrage (AMO)</w:t>
        </w:r>
        <w:r w:rsidR="000C6A7B">
          <w:rPr>
            <w:noProof/>
            <w:webHidden/>
          </w:rPr>
          <w:tab/>
        </w:r>
        <w:r w:rsidR="000C6A7B">
          <w:rPr>
            <w:noProof/>
            <w:webHidden/>
          </w:rPr>
          <w:fldChar w:fldCharType="begin"/>
        </w:r>
        <w:r w:rsidR="000C6A7B">
          <w:rPr>
            <w:noProof/>
            <w:webHidden/>
          </w:rPr>
          <w:instrText xml:space="preserve"> PAGEREF _Toc112749021 \h </w:instrText>
        </w:r>
        <w:r w:rsidR="000C6A7B">
          <w:rPr>
            <w:noProof/>
            <w:webHidden/>
          </w:rPr>
        </w:r>
        <w:r w:rsidR="000C6A7B">
          <w:rPr>
            <w:noProof/>
            <w:webHidden/>
          </w:rPr>
          <w:fldChar w:fldCharType="separate"/>
        </w:r>
        <w:r w:rsidR="000C6A7B">
          <w:rPr>
            <w:noProof/>
            <w:webHidden/>
          </w:rPr>
          <w:t>23</w:t>
        </w:r>
        <w:r w:rsidR="000C6A7B">
          <w:rPr>
            <w:noProof/>
            <w:webHidden/>
          </w:rPr>
          <w:fldChar w:fldCharType="end"/>
        </w:r>
      </w:hyperlink>
    </w:p>
    <w:p w14:paraId="085B4604" w14:textId="182DB988" w:rsidR="000C6A7B" w:rsidRDefault="00000000">
      <w:pPr>
        <w:pStyle w:val="TM2"/>
        <w:tabs>
          <w:tab w:val="right" w:leader="dot" w:pos="9062"/>
        </w:tabs>
        <w:rPr>
          <w:rFonts w:eastAsiaTheme="minorEastAsia" w:cstheme="minorBidi"/>
          <w:smallCaps w:val="0"/>
          <w:noProof/>
          <w:sz w:val="24"/>
          <w:szCs w:val="24"/>
          <w:lang w:eastAsia="fr-FR"/>
        </w:rPr>
      </w:pPr>
      <w:hyperlink w:anchor="_Toc112749022" w:history="1">
        <w:r w:rsidR="000C6A7B" w:rsidRPr="002F7940">
          <w:rPr>
            <w:rStyle w:val="Lienhypertexte"/>
            <w:noProof/>
          </w:rPr>
          <w:t>12.3. Le Titulaire : la Société de Services d’Efficacité Énergétique (SSEE)</w:t>
        </w:r>
        <w:r w:rsidR="000C6A7B">
          <w:rPr>
            <w:noProof/>
            <w:webHidden/>
          </w:rPr>
          <w:tab/>
        </w:r>
        <w:r w:rsidR="000C6A7B">
          <w:rPr>
            <w:noProof/>
            <w:webHidden/>
          </w:rPr>
          <w:fldChar w:fldCharType="begin"/>
        </w:r>
        <w:r w:rsidR="000C6A7B">
          <w:rPr>
            <w:noProof/>
            <w:webHidden/>
          </w:rPr>
          <w:instrText xml:space="preserve"> PAGEREF _Toc112749022 \h </w:instrText>
        </w:r>
        <w:r w:rsidR="000C6A7B">
          <w:rPr>
            <w:noProof/>
            <w:webHidden/>
          </w:rPr>
        </w:r>
        <w:r w:rsidR="000C6A7B">
          <w:rPr>
            <w:noProof/>
            <w:webHidden/>
          </w:rPr>
          <w:fldChar w:fldCharType="separate"/>
        </w:r>
        <w:r w:rsidR="000C6A7B">
          <w:rPr>
            <w:noProof/>
            <w:webHidden/>
          </w:rPr>
          <w:t>24</w:t>
        </w:r>
        <w:r w:rsidR="000C6A7B">
          <w:rPr>
            <w:noProof/>
            <w:webHidden/>
          </w:rPr>
          <w:fldChar w:fldCharType="end"/>
        </w:r>
      </w:hyperlink>
    </w:p>
    <w:p w14:paraId="3099AE1E" w14:textId="3336976B" w:rsidR="000C6A7B" w:rsidRDefault="00000000">
      <w:pPr>
        <w:pStyle w:val="TM3"/>
        <w:tabs>
          <w:tab w:val="right" w:leader="dot" w:pos="9062"/>
        </w:tabs>
        <w:rPr>
          <w:rFonts w:eastAsiaTheme="minorEastAsia" w:cstheme="minorBidi"/>
          <w:i w:val="0"/>
          <w:iCs w:val="0"/>
          <w:noProof/>
          <w:sz w:val="24"/>
          <w:szCs w:val="24"/>
          <w:lang w:eastAsia="fr-FR"/>
        </w:rPr>
      </w:pPr>
      <w:hyperlink w:anchor="_Toc112749023" w:history="1">
        <w:r w:rsidR="000C6A7B" w:rsidRPr="002F7940">
          <w:rPr>
            <w:rStyle w:val="Lienhypertexte"/>
            <w:noProof/>
          </w:rPr>
          <w:t>12.3.1. Forme du Titulaire</w:t>
        </w:r>
        <w:r w:rsidR="000C6A7B">
          <w:rPr>
            <w:noProof/>
            <w:webHidden/>
          </w:rPr>
          <w:tab/>
        </w:r>
        <w:r w:rsidR="000C6A7B">
          <w:rPr>
            <w:noProof/>
            <w:webHidden/>
          </w:rPr>
          <w:fldChar w:fldCharType="begin"/>
        </w:r>
        <w:r w:rsidR="000C6A7B">
          <w:rPr>
            <w:noProof/>
            <w:webHidden/>
          </w:rPr>
          <w:instrText xml:space="preserve"> PAGEREF _Toc112749023 \h </w:instrText>
        </w:r>
        <w:r w:rsidR="000C6A7B">
          <w:rPr>
            <w:noProof/>
            <w:webHidden/>
          </w:rPr>
        </w:r>
        <w:r w:rsidR="000C6A7B">
          <w:rPr>
            <w:noProof/>
            <w:webHidden/>
          </w:rPr>
          <w:fldChar w:fldCharType="separate"/>
        </w:r>
        <w:r w:rsidR="000C6A7B">
          <w:rPr>
            <w:noProof/>
            <w:webHidden/>
          </w:rPr>
          <w:t>24</w:t>
        </w:r>
        <w:r w:rsidR="000C6A7B">
          <w:rPr>
            <w:noProof/>
            <w:webHidden/>
          </w:rPr>
          <w:fldChar w:fldCharType="end"/>
        </w:r>
      </w:hyperlink>
    </w:p>
    <w:p w14:paraId="12B98440" w14:textId="6911D7B7" w:rsidR="000C6A7B" w:rsidRDefault="00000000">
      <w:pPr>
        <w:pStyle w:val="TM3"/>
        <w:tabs>
          <w:tab w:val="right" w:leader="dot" w:pos="9062"/>
        </w:tabs>
        <w:rPr>
          <w:rFonts w:eastAsiaTheme="minorEastAsia" w:cstheme="minorBidi"/>
          <w:i w:val="0"/>
          <w:iCs w:val="0"/>
          <w:noProof/>
          <w:sz w:val="24"/>
          <w:szCs w:val="24"/>
          <w:lang w:eastAsia="fr-FR"/>
        </w:rPr>
      </w:pPr>
      <w:hyperlink w:anchor="_Toc112749024" w:history="1">
        <w:r w:rsidR="000C6A7B" w:rsidRPr="002F7940">
          <w:rPr>
            <w:rStyle w:val="Lienhypertexte"/>
            <w:noProof/>
          </w:rPr>
          <w:t>12.3.2. Forme du groupement :</w:t>
        </w:r>
        <w:r w:rsidR="000C6A7B">
          <w:rPr>
            <w:noProof/>
            <w:webHidden/>
          </w:rPr>
          <w:tab/>
        </w:r>
        <w:r w:rsidR="000C6A7B">
          <w:rPr>
            <w:noProof/>
            <w:webHidden/>
          </w:rPr>
          <w:fldChar w:fldCharType="begin"/>
        </w:r>
        <w:r w:rsidR="000C6A7B">
          <w:rPr>
            <w:noProof/>
            <w:webHidden/>
          </w:rPr>
          <w:instrText xml:space="preserve"> PAGEREF _Toc112749024 \h </w:instrText>
        </w:r>
        <w:r w:rsidR="000C6A7B">
          <w:rPr>
            <w:noProof/>
            <w:webHidden/>
          </w:rPr>
        </w:r>
        <w:r w:rsidR="000C6A7B">
          <w:rPr>
            <w:noProof/>
            <w:webHidden/>
          </w:rPr>
          <w:fldChar w:fldCharType="separate"/>
        </w:r>
        <w:r w:rsidR="000C6A7B">
          <w:rPr>
            <w:noProof/>
            <w:webHidden/>
          </w:rPr>
          <w:t>25</w:t>
        </w:r>
        <w:r w:rsidR="000C6A7B">
          <w:rPr>
            <w:noProof/>
            <w:webHidden/>
          </w:rPr>
          <w:fldChar w:fldCharType="end"/>
        </w:r>
      </w:hyperlink>
    </w:p>
    <w:p w14:paraId="72134C6F" w14:textId="3154EE35" w:rsidR="000C6A7B" w:rsidRDefault="00000000">
      <w:pPr>
        <w:pStyle w:val="TM3"/>
        <w:tabs>
          <w:tab w:val="right" w:leader="dot" w:pos="9062"/>
        </w:tabs>
        <w:rPr>
          <w:rFonts w:eastAsiaTheme="minorEastAsia" w:cstheme="minorBidi"/>
          <w:i w:val="0"/>
          <w:iCs w:val="0"/>
          <w:noProof/>
          <w:sz w:val="24"/>
          <w:szCs w:val="24"/>
          <w:lang w:eastAsia="fr-FR"/>
        </w:rPr>
      </w:pPr>
      <w:hyperlink w:anchor="_Toc112749025" w:history="1">
        <w:r w:rsidR="000C6A7B" w:rsidRPr="002F7940">
          <w:rPr>
            <w:rStyle w:val="Lienhypertexte"/>
            <w:noProof/>
          </w:rPr>
          <w:t>12.3.3. Capacités du Mandataire</w:t>
        </w:r>
        <w:r w:rsidR="000C6A7B">
          <w:rPr>
            <w:noProof/>
            <w:webHidden/>
          </w:rPr>
          <w:tab/>
        </w:r>
        <w:r w:rsidR="000C6A7B">
          <w:rPr>
            <w:noProof/>
            <w:webHidden/>
          </w:rPr>
          <w:fldChar w:fldCharType="begin"/>
        </w:r>
        <w:r w:rsidR="000C6A7B">
          <w:rPr>
            <w:noProof/>
            <w:webHidden/>
          </w:rPr>
          <w:instrText xml:space="preserve"> PAGEREF _Toc112749025 \h </w:instrText>
        </w:r>
        <w:r w:rsidR="000C6A7B">
          <w:rPr>
            <w:noProof/>
            <w:webHidden/>
          </w:rPr>
        </w:r>
        <w:r w:rsidR="000C6A7B">
          <w:rPr>
            <w:noProof/>
            <w:webHidden/>
          </w:rPr>
          <w:fldChar w:fldCharType="separate"/>
        </w:r>
        <w:r w:rsidR="000C6A7B">
          <w:rPr>
            <w:noProof/>
            <w:webHidden/>
          </w:rPr>
          <w:t>26</w:t>
        </w:r>
        <w:r w:rsidR="000C6A7B">
          <w:rPr>
            <w:noProof/>
            <w:webHidden/>
          </w:rPr>
          <w:fldChar w:fldCharType="end"/>
        </w:r>
      </w:hyperlink>
    </w:p>
    <w:p w14:paraId="69683F93" w14:textId="1F89363B" w:rsidR="000C6A7B" w:rsidRDefault="00000000">
      <w:pPr>
        <w:pStyle w:val="TM3"/>
        <w:tabs>
          <w:tab w:val="right" w:leader="dot" w:pos="9062"/>
        </w:tabs>
        <w:rPr>
          <w:rFonts w:eastAsiaTheme="minorEastAsia" w:cstheme="minorBidi"/>
          <w:i w:val="0"/>
          <w:iCs w:val="0"/>
          <w:noProof/>
          <w:sz w:val="24"/>
          <w:szCs w:val="24"/>
          <w:lang w:eastAsia="fr-FR"/>
        </w:rPr>
      </w:pPr>
      <w:hyperlink w:anchor="_Toc112749026" w:history="1">
        <w:r w:rsidR="000C6A7B" w:rsidRPr="002F7940">
          <w:rPr>
            <w:rStyle w:val="Lienhypertexte"/>
            <w:noProof/>
          </w:rPr>
          <w:t>12.3.4. Changement de Mandataire</w:t>
        </w:r>
        <w:r w:rsidR="000C6A7B">
          <w:rPr>
            <w:noProof/>
            <w:webHidden/>
          </w:rPr>
          <w:tab/>
        </w:r>
        <w:r w:rsidR="000C6A7B">
          <w:rPr>
            <w:noProof/>
            <w:webHidden/>
          </w:rPr>
          <w:fldChar w:fldCharType="begin"/>
        </w:r>
        <w:r w:rsidR="000C6A7B">
          <w:rPr>
            <w:noProof/>
            <w:webHidden/>
          </w:rPr>
          <w:instrText xml:space="preserve"> PAGEREF _Toc112749026 \h </w:instrText>
        </w:r>
        <w:r w:rsidR="000C6A7B">
          <w:rPr>
            <w:noProof/>
            <w:webHidden/>
          </w:rPr>
        </w:r>
        <w:r w:rsidR="000C6A7B">
          <w:rPr>
            <w:noProof/>
            <w:webHidden/>
          </w:rPr>
          <w:fldChar w:fldCharType="separate"/>
        </w:r>
        <w:r w:rsidR="000C6A7B">
          <w:rPr>
            <w:noProof/>
            <w:webHidden/>
          </w:rPr>
          <w:t>26</w:t>
        </w:r>
        <w:r w:rsidR="000C6A7B">
          <w:rPr>
            <w:noProof/>
            <w:webHidden/>
          </w:rPr>
          <w:fldChar w:fldCharType="end"/>
        </w:r>
      </w:hyperlink>
    </w:p>
    <w:p w14:paraId="5F5BD0FA" w14:textId="6014E5E6" w:rsidR="000C6A7B" w:rsidRDefault="00000000">
      <w:pPr>
        <w:pStyle w:val="TM2"/>
        <w:tabs>
          <w:tab w:val="right" w:leader="dot" w:pos="9062"/>
        </w:tabs>
        <w:rPr>
          <w:rFonts w:eastAsiaTheme="minorEastAsia" w:cstheme="minorBidi"/>
          <w:smallCaps w:val="0"/>
          <w:noProof/>
          <w:sz w:val="24"/>
          <w:szCs w:val="24"/>
          <w:lang w:eastAsia="fr-FR"/>
        </w:rPr>
      </w:pPr>
      <w:hyperlink w:anchor="_Toc112749027" w:history="1">
        <w:r w:rsidR="000C6A7B" w:rsidRPr="002F7940">
          <w:rPr>
            <w:rStyle w:val="Lienhypertexte"/>
            <w:noProof/>
          </w:rPr>
          <w:t>12.4. La Sous-traitance</w:t>
        </w:r>
        <w:r w:rsidR="000C6A7B">
          <w:rPr>
            <w:noProof/>
            <w:webHidden/>
          </w:rPr>
          <w:tab/>
        </w:r>
        <w:r w:rsidR="000C6A7B">
          <w:rPr>
            <w:noProof/>
            <w:webHidden/>
          </w:rPr>
          <w:fldChar w:fldCharType="begin"/>
        </w:r>
        <w:r w:rsidR="000C6A7B">
          <w:rPr>
            <w:noProof/>
            <w:webHidden/>
          </w:rPr>
          <w:instrText xml:space="preserve"> PAGEREF _Toc112749027 \h </w:instrText>
        </w:r>
        <w:r w:rsidR="000C6A7B">
          <w:rPr>
            <w:noProof/>
            <w:webHidden/>
          </w:rPr>
        </w:r>
        <w:r w:rsidR="000C6A7B">
          <w:rPr>
            <w:noProof/>
            <w:webHidden/>
          </w:rPr>
          <w:fldChar w:fldCharType="separate"/>
        </w:r>
        <w:r w:rsidR="000C6A7B">
          <w:rPr>
            <w:noProof/>
            <w:webHidden/>
          </w:rPr>
          <w:t>26</w:t>
        </w:r>
        <w:r w:rsidR="000C6A7B">
          <w:rPr>
            <w:noProof/>
            <w:webHidden/>
          </w:rPr>
          <w:fldChar w:fldCharType="end"/>
        </w:r>
      </w:hyperlink>
    </w:p>
    <w:p w14:paraId="606CFA35" w14:textId="0E1A05AE" w:rsidR="000C6A7B" w:rsidRDefault="00000000">
      <w:pPr>
        <w:pStyle w:val="TM1"/>
        <w:tabs>
          <w:tab w:val="right" w:leader="dot" w:pos="9062"/>
        </w:tabs>
        <w:rPr>
          <w:rFonts w:eastAsiaTheme="minorEastAsia"/>
          <w:noProof/>
          <w:sz w:val="24"/>
          <w:szCs w:val="24"/>
          <w:lang w:eastAsia="fr-FR"/>
        </w:rPr>
      </w:pPr>
      <w:hyperlink w:anchor="_Toc112749028" w:history="1">
        <w:r w:rsidR="000C6A7B" w:rsidRPr="002F7940">
          <w:rPr>
            <w:rStyle w:val="Lienhypertexte"/>
            <w:noProof/>
          </w:rPr>
          <w:t>13. Schéma fonctionnel de mise en œuvre d’un projet de CPE</w:t>
        </w:r>
        <w:r w:rsidR="000C6A7B">
          <w:rPr>
            <w:noProof/>
            <w:webHidden/>
          </w:rPr>
          <w:tab/>
        </w:r>
        <w:r w:rsidR="000C6A7B">
          <w:rPr>
            <w:noProof/>
            <w:webHidden/>
          </w:rPr>
          <w:fldChar w:fldCharType="begin"/>
        </w:r>
        <w:r w:rsidR="000C6A7B">
          <w:rPr>
            <w:noProof/>
            <w:webHidden/>
          </w:rPr>
          <w:instrText xml:space="preserve"> PAGEREF _Toc112749028 \h </w:instrText>
        </w:r>
        <w:r w:rsidR="000C6A7B">
          <w:rPr>
            <w:noProof/>
            <w:webHidden/>
          </w:rPr>
        </w:r>
        <w:r w:rsidR="000C6A7B">
          <w:rPr>
            <w:noProof/>
            <w:webHidden/>
          </w:rPr>
          <w:fldChar w:fldCharType="separate"/>
        </w:r>
        <w:r w:rsidR="000C6A7B">
          <w:rPr>
            <w:noProof/>
            <w:webHidden/>
          </w:rPr>
          <w:t>27</w:t>
        </w:r>
        <w:r w:rsidR="000C6A7B">
          <w:rPr>
            <w:noProof/>
            <w:webHidden/>
          </w:rPr>
          <w:fldChar w:fldCharType="end"/>
        </w:r>
      </w:hyperlink>
    </w:p>
    <w:p w14:paraId="4FC7B8F7" w14:textId="30D33AEE" w:rsidR="000C6A7B" w:rsidRDefault="00000000">
      <w:pPr>
        <w:pStyle w:val="TM1"/>
        <w:tabs>
          <w:tab w:val="right" w:leader="dot" w:pos="9062"/>
        </w:tabs>
        <w:rPr>
          <w:rFonts w:eastAsiaTheme="minorEastAsia"/>
          <w:noProof/>
          <w:sz w:val="24"/>
          <w:szCs w:val="24"/>
          <w:lang w:eastAsia="fr-FR"/>
        </w:rPr>
      </w:pPr>
      <w:hyperlink w:anchor="_Toc112749029" w:history="1">
        <w:r w:rsidR="000C6A7B" w:rsidRPr="002F7940">
          <w:rPr>
            <w:rStyle w:val="Lienhypertexte"/>
            <w:noProof/>
          </w:rPr>
          <w:t>14. Définir son projet : de l’inventaire du patrimoine à la définition des objectifs</w:t>
        </w:r>
        <w:r w:rsidR="000C6A7B">
          <w:rPr>
            <w:noProof/>
            <w:webHidden/>
          </w:rPr>
          <w:tab/>
        </w:r>
        <w:r w:rsidR="000C6A7B">
          <w:rPr>
            <w:noProof/>
            <w:webHidden/>
          </w:rPr>
          <w:fldChar w:fldCharType="begin"/>
        </w:r>
        <w:r w:rsidR="000C6A7B">
          <w:rPr>
            <w:noProof/>
            <w:webHidden/>
          </w:rPr>
          <w:instrText xml:space="preserve"> PAGEREF _Toc112749029 \h </w:instrText>
        </w:r>
        <w:r w:rsidR="000C6A7B">
          <w:rPr>
            <w:noProof/>
            <w:webHidden/>
          </w:rPr>
        </w:r>
        <w:r w:rsidR="000C6A7B">
          <w:rPr>
            <w:noProof/>
            <w:webHidden/>
          </w:rPr>
          <w:fldChar w:fldCharType="separate"/>
        </w:r>
        <w:r w:rsidR="000C6A7B">
          <w:rPr>
            <w:noProof/>
            <w:webHidden/>
          </w:rPr>
          <w:t>28</w:t>
        </w:r>
        <w:r w:rsidR="000C6A7B">
          <w:rPr>
            <w:noProof/>
            <w:webHidden/>
          </w:rPr>
          <w:fldChar w:fldCharType="end"/>
        </w:r>
      </w:hyperlink>
    </w:p>
    <w:p w14:paraId="3C0FC348" w14:textId="21336BFF" w:rsidR="000C6A7B" w:rsidRDefault="00000000">
      <w:pPr>
        <w:pStyle w:val="TM2"/>
        <w:tabs>
          <w:tab w:val="right" w:leader="dot" w:pos="9062"/>
        </w:tabs>
        <w:rPr>
          <w:rFonts w:eastAsiaTheme="minorEastAsia" w:cstheme="minorBidi"/>
          <w:smallCaps w:val="0"/>
          <w:noProof/>
          <w:sz w:val="24"/>
          <w:szCs w:val="24"/>
          <w:lang w:eastAsia="fr-FR"/>
        </w:rPr>
      </w:pPr>
      <w:hyperlink w:anchor="_Toc112749030" w:history="1">
        <w:r w:rsidR="000C6A7B" w:rsidRPr="002F7940">
          <w:rPr>
            <w:rStyle w:val="Lienhypertexte"/>
            <w:noProof/>
          </w:rPr>
          <w:t>14.1. Etat des lieux du patrimoine</w:t>
        </w:r>
        <w:r w:rsidR="000C6A7B">
          <w:rPr>
            <w:noProof/>
            <w:webHidden/>
          </w:rPr>
          <w:tab/>
        </w:r>
        <w:r w:rsidR="000C6A7B">
          <w:rPr>
            <w:noProof/>
            <w:webHidden/>
          </w:rPr>
          <w:fldChar w:fldCharType="begin"/>
        </w:r>
        <w:r w:rsidR="000C6A7B">
          <w:rPr>
            <w:noProof/>
            <w:webHidden/>
          </w:rPr>
          <w:instrText xml:space="preserve"> PAGEREF _Toc112749030 \h </w:instrText>
        </w:r>
        <w:r w:rsidR="000C6A7B">
          <w:rPr>
            <w:noProof/>
            <w:webHidden/>
          </w:rPr>
        </w:r>
        <w:r w:rsidR="000C6A7B">
          <w:rPr>
            <w:noProof/>
            <w:webHidden/>
          </w:rPr>
          <w:fldChar w:fldCharType="separate"/>
        </w:r>
        <w:r w:rsidR="000C6A7B">
          <w:rPr>
            <w:noProof/>
            <w:webHidden/>
          </w:rPr>
          <w:t>28</w:t>
        </w:r>
        <w:r w:rsidR="000C6A7B">
          <w:rPr>
            <w:noProof/>
            <w:webHidden/>
          </w:rPr>
          <w:fldChar w:fldCharType="end"/>
        </w:r>
      </w:hyperlink>
    </w:p>
    <w:p w14:paraId="43C37C0B" w14:textId="324AEE0C" w:rsidR="000C6A7B" w:rsidRDefault="00000000">
      <w:pPr>
        <w:pStyle w:val="TM2"/>
        <w:tabs>
          <w:tab w:val="right" w:leader="dot" w:pos="9062"/>
        </w:tabs>
        <w:rPr>
          <w:rFonts w:eastAsiaTheme="minorEastAsia" w:cstheme="minorBidi"/>
          <w:smallCaps w:val="0"/>
          <w:noProof/>
          <w:sz w:val="24"/>
          <w:szCs w:val="24"/>
          <w:lang w:eastAsia="fr-FR"/>
        </w:rPr>
      </w:pPr>
      <w:hyperlink w:anchor="_Toc112749031" w:history="1">
        <w:r w:rsidR="000C6A7B" w:rsidRPr="002F7940">
          <w:rPr>
            <w:rStyle w:val="Lienhypertexte"/>
            <w:noProof/>
          </w:rPr>
          <w:t>14.2. Sélectionner le ou les sites</w:t>
        </w:r>
        <w:r w:rsidR="000C6A7B">
          <w:rPr>
            <w:noProof/>
            <w:webHidden/>
          </w:rPr>
          <w:tab/>
        </w:r>
        <w:r w:rsidR="000C6A7B">
          <w:rPr>
            <w:noProof/>
            <w:webHidden/>
          </w:rPr>
          <w:fldChar w:fldCharType="begin"/>
        </w:r>
        <w:r w:rsidR="000C6A7B">
          <w:rPr>
            <w:noProof/>
            <w:webHidden/>
          </w:rPr>
          <w:instrText xml:space="preserve"> PAGEREF _Toc112749031 \h </w:instrText>
        </w:r>
        <w:r w:rsidR="000C6A7B">
          <w:rPr>
            <w:noProof/>
            <w:webHidden/>
          </w:rPr>
        </w:r>
        <w:r w:rsidR="000C6A7B">
          <w:rPr>
            <w:noProof/>
            <w:webHidden/>
          </w:rPr>
          <w:fldChar w:fldCharType="separate"/>
        </w:r>
        <w:r w:rsidR="000C6A7B">
          <w:rPr>
            <w:noProof/>
            <w:webHidden/>
          </w:rPr>
          <w:t>29</w:t>
        </w:r>
        <w:r w:rsidR="000C6A7B">
          <w:rPr>
            <w:noProof/>
            <w:webHidden/>
          </w:rPr>
          <w:fldChar w:fldCharType="end"/>
        </w:r>
      </w:hyperlink>
    </w:p>
    <w:p w14:paraId="3D7A9880" w14:textId="05299F4D" w:rsidR="000C6A7B" w:rsidRDefault="00000000">
      <w:pPr>
        <w:pStyle w:val="TM2"/>
        <w:tabs>
          <w:tab w:val="right" w:leader="dot" w:pos="9062"/>
        </w:tabs>
        <w:rPr>
          <w:rFonts w:eastAsiaTheme="minorEastAsia" w:cstheme="minorBidi"/>
          <w:smallCaps w:val="0"/>
          <w:noProof/>
          <w:sz w:val="24"/>
          <w:szCs w:val="24"/>
          <w:lang w:eastAsia="fr-FR"/>
        </w:rPr>
      </w:pPr>
      <w:hyperlink w:anchor="_Toc112749032" w:history="1">
        <w:r w:rsidR="000C6A7B" w:rsidRPr="002F7940">
          <w:rPr>
            <w:rStyle w:val="Lienhypertexte"/>
            <w:noProof/>
          </w:rPr>
          <w:t>14.3. Audits énergétiques et pistes d’amélioration</w:t>
        </w:r>
        <w:r w:rsidR="000C6A7B">
          <w:rPr>
            <w:noProof/>
            <w:webHidden/>
          </w:rPr>
          <w:tab/>
        </w:r>
        <w:r w:rsidR="000C6A7B">
          <w:rPr>
            <w:noProof/>
            <w:webHidden/>
          </w:rPr>
          <w:fldChar w:fldCharType="begin"/>
        </w:r>
        <w:r w:rsidR="000C6A7B">
          <w:rPr>
            <w:noProof/>
            <w:webHidden/>
          </w:rPr>
          <w:instrText xml:space="preserve"> PAGEREF _Toc112749032 \h </w:instrText>
        </w:r>
        <w:r w:rsidR="000C6A7B">
          <w:rPr>
            <w:noProof/>
            <w:webHidden/>
          </w:rPr>
        </w:r>
        <w:r w:rsidR="000C6A7B">
          <w:rPr>
            <w:noProof/>
            <w:webHidden/>
          </w:rPr>
          <w:fldChar w:fldCharType="separate"/>
        </w:r>
        <w:r w:rsidR="000C6A7B">
          <w:rPr>
            <w:noProof/>
            <w:webHidden/>
          </w:rPr>
          <w:t>29</w:t>
        </w:r>
        <w:r w:rsidR="000C6A7B">
          <w:rPr>
            <w:noProof/>
            <w:webHidden/>
          </w:rPr>
          <w:fldChar w:fldCharType="end"/>
        </w:r>
      </w:hyperlink>
    </w:p>
    <w:p w14:paraId="23392C8F" w14:textId="27488032" w:rsidR="000C6A7B" w:rsidRDefault="00000000">
      <w:pPr>
        <w:pStyle w:val="TM2"/>
        <w:tabs>
          <w:tab w:val="right" w:leader="dot" w:pos="9062"/>
        </w:tabs>
        <w:rPr>
          <w:rFonts w:eastAsiaTheme="minorEastAsia" w:cstheme="minorBidi"/>
          <w:smallCaps w:val="0"/>
          <w:noProof/>
          <w:sz w:val="24"/>
          <w:szCs w:val="24"/>
          <w:lang w:eastAsia="fr-FR"/>
        </w:rPr>
      </w:pPr>
      <w:hyperlink w:anchor="_Toc112749033" w:history="1">
        <w:r w:rsidR="000C6A7B" w:rsidRPr="002F7940">
          <w:rPr>
            <w:rStyle w:val="Lienhypertexte"/>
            <w:noProof/>
          </w:rPr>
          <w:t>14.4. Définir le niveau de performance à atteindre</w:t>
        </w:r>
        <w:r w:rsidR="000C6A7B">
          <w:rPr>
            <w:noProof/>
            <w:webHidden/>
          </w:rPr>
          <w:tab/>
        </w:r>
        <w:r w:rsidR="000C6A7B">
          <w:rPr>
            <w:noProof/>
            <w:webHidden/>
          </w:rPr>
          <w:fldChar w:fldCharType="begin"/>
        </w:r>
        <w:r w:rsidR="000C6A7B">
          <w:rPr>
            <w:noProof/>
            <w:webHidden/>
          </w:rPr>
          <w:instrText xml:space="preserve"> PAGEREF _Toc112749033 \h </w:instrText>
        </w:r>
        <w:r w:rsidR="000C6A7B">
          <w:rPr>
            <w:noProof/>
            <w:webHidden/>
          </w:rPr>
        </w:r>
        <w:r w:rsidR="000C6A7B">
          <w:rPr>
            <w:noProof/>
            <w:webHidden/>
          </w:rPr>
          <w:fldChar w:fldCharType="separate"/>
        </w:r>
        <w:r w:rsidR="000C6A7B">
          <w:rPr>
            <w:noProof/>
            <w:webHidden/>
          </w:rPr>
          <w:t>29</w:t>
        </w:r>
        <w:r w:rsidR="000C6A7B">
          <w:rPr>
            <w:noProof/>
            <w:webHidden/>
          </w:rPr>
          <w:fldChar w:fldCharType="end"/>
        </w:r>
      </w:hyperlink>
    </w:p>
    <w:p w14:paraId="636F3D6B" w14:textId="6D6D2E15" w:rsidR="000C6A7B" w:rsidRDefault="00000000">
      <w:pPr>
        <w:pStyle w:val="TM1"/>
        <w:tabs>
          <w:tab w:val="right" w:leader="dot" w:pos="9062"/>
        </w:tabs>
        <w:rPr>
          <w:rFonts w:eastAsiaTheme="minorEastAsia"/>
          <w:noProof/>
          <w:sz w:val="24"/>
          <w:szCs w:val="24"/>
          <w:lang w:eastAsia="fr-FR"/>
        </w:rPr>
      </w:pPr>
      <w:hyperlink w:anchor="_Toc112749034" w:history="1">
        <w:r w:rsidR="000C6A7B" w:rsidRPr="002F7940">
          <w:rPr>
            <w:rStyle w:val="Lienhypertexte"/>
            <w:noProof/>
          </w:rPr>
          <w:t>Partie IV - Points d’attention particuliers</w:t>
        </w:r>
        <w:r w:rsidR="000C6A7B">
          <w:rPr>
            <w:noProof/>
            <w:webHidden/>
          </w:rPr>
          <w:tab/>
        </w:r>
        <w:r w:rsidR="000C6A7B">
          <w:rPr>
            <w:noProof/>
            <w:webHidden/>
          </w:rPr>
          <w:fldChar w:fldCharType="begin"/>
        </w:r>
        <w:r w:rsidR="000C6A7B">
          <w:rPr>
            <w:noProof/>
            <w:webHidden/>
          </w:rPr>
          <w:instrText xml:space="preserve"> PAGEREF _Toc112749034 \h </w:instrText>
        </w:r>
        <w:r w:rsidR="000C6A7B">
          <w:rPr>
            <w:noProof/>
            <w:webHidden/>
          </w:rPr>
        </w:r>
        <w:r w:rsidR="000C6A7B">
          <w:rPr>
            <w:noProof/>
            <w:webHidden/>
          </w:rPr>
          <w:fldChar w:fldCharType="separate"/>
        </w:r>
        <w:r w:rsidR="000C6A7B">
          <w:rPr>
            <w:noProof/>
            <w:webHidden/>
          </w:rPr>
          <w:t>31</w:t>
        </w:r>
        <w:r w:rsidR="000C6A7B">
          <w:rPr>
            <w:noProof/>
            <w:webHidden/>
          </w:rPr>
          <w:fldChar w:fldCharType="end"/>
        </w:r>
      </w:hyperlink>
    </w:p>
    <w:p w14:paraId="3D94190C" w14:textId="155F0663" w:rsidR="000C6A7B" w:rsidRDefault="00000000">
      <w:pPr>
        <w:pStyle w:val="TM1"/>
        <w:tabs>
          <w:tab w:val="right" w:leader="dot" w:pos="9062"/>
        </w:tabs>
        <w:rPr>
          <w:rFonts w:eastAsiaTheme="minorEastAsia"/>
          <w:noProof/>
          <w:sz w:val="24"/>
          <w:szCs w:val="24"/>
          <w:lang w:eastAsia="fr-FR"/>
        </w:rPr>
      </w:pPr>
      <w:hyperlink w:anchor="_Toc112749035" w:history="1">
        <w:r w:rsidR="000C6A7B" w:rsidRPr="002F7940">
          <w:rPr>
            <w:rStyle w:val="Lienhypertexte"/>
            <w:noProof/>
          </w:rPr>
          <w:t>15. Inclure ou non la fourniture d’énergie dans le CPE ?</w:t>
        </w:r>
        <w:r w:rsidR="000C6A7B">
          <w:rPr>
            <w:noProof/>
            <w:webHidden/>
          </w:rPr>
          <w:tab/>
        </w:r>
        <w:r w:rsidR="000C6A7B">
          <w:rPr>
            <w:noProof/>
            <w:webHidden/>
          </w:rPr>
          <w:fldChar w:fldCharType="begin"/>
        </w:r>
        <w:r w:rsidR="000C6A7B">
          <w:rPr>
            <w:noProof/>
            <w:webHidden/>
          </w:rPr>
          <w:instrText xml:space="preserve"> PAGEREF _Toc112749035 \h </w:instrText>
        </w:r>
        <w:r w:rsidR="000C6A7B">
          <w:rPr>
            <w:noProof/>
            <w:webHidden/>
          </w:rPr>
        </w:r>
        <w:r w:rsidR="000C6A7B">
          <w:rPr>
            <w:noProof/>
            <w:webHidden/>
          </w:rPr>
          <w:fldChar w:fldCharType="separate"/>
        </w:r>
        <w:r w:rsidR="000C6A7B">
          <w:rPr>
            <w:noProof/>
            <w:webHidden/>
          </w:rPr>
          <w:t>31</w:t>
        </w:r>
        <w:r w:rsidR="000C6A7B">
          <w:rPr>
            <w:noProof/>
            <w:webHidden/>
          </w:rPr>
          <w:fldChar w:fldCharType="end"/>
        </w:r>
      </w:hyperlink>
    </w:p>
    <w:p w14:paraId="7591BFC4" w14:textId="72F2C7C2" w:rsidR="000C6A7B" w:rsidRDefault="00000000">
      <w:pPr>
        <w:pStyle w:val="TM1"/>
        <w:tabs>
          <w:tab w:val="right" w:leader="dot" w:pos="9062"/>
        </w:tabs>
        <w:rPr>
          <w:rFonts w:eastAsiaTheme="minorEastAsia"/>
          <w:noProof/>
          <w:sz w:val="24"/>
          <w:szCs w:val="24"/>
          <w:lang w:eastAsia="fr-FR"/>
        </w:rPr>
      </w:pPr>
      <w:hyperlink w:anchor="_Toc112749036" w:history="1">
        <w:r w:rsidR="000C6A7B" w:rsidRPr="002F7940">
          <w:rPr>
            <w:rStyle w:val="Lienhypertexte"/>
            <w:noProof/>
          </w:rPr>
          <w:t>16. La valorisation des CEE</w:t>
        </w:r>
        <w:r w:rsidR="000C6A7B">
          <w:rPr>
            <w:noProof/>
            <w:webHidden/>
          </w:rPr>
          <w:tab/>
        </w:r>
        <w:r w:rsidR="000C6A7B">
          <w:rPr>
            <w:noProof/>
            <w:webHidden/>
          </w:rPr>
          <w:fldChar w:fldCharType="begin"/>
        </w:r>
        <w:r w:rsidR="000C6A7B">
          <w:rPr>
            <w:noProof/>
            <w:webHidden/>
          </w:rPr>
          <w:instrText xml:space="preserve"> PAGEREF _Toc112749036 \h </w:instrText>
        </w:r>
        <w:r w:rsidR="000C6A7B">
          <w:rPr>
            <w:noProof/>
            <w:webHidden/>
          </w:rPr>
        </w:r>
        <w:r w:rsidR="000C6A7B">
          <w:rPr>
            <w:noProof/>
            <w:webHidden/>
          </w:rPr>
          <w:fldChar w:fldCharType="separate"/>
        </w:r>
        <w:r w:rsidR="000C6A7B">
          <w:rPr>
            <w:noProof/>
            <w:webHidden/>
          </w:rPr>
          <w:t>31</w:t>
        </w:r>
        <w:r w:rsidR="000C6A7B">
          <w:rPr>
            <w:noProof/>
            <w:webHidden/>
          </w:rPr>
          <w:fldChar w:fldCharType="end"/>
        </w:r>
      </w:hyperlink>
    </w:p>
    <w:p w14:paraId="7376BD4F" w14:textId="629A0387" w:rsidR="000C6A7B" w:rsidRDefault="00000000">
      <w:pPr>
        <w:pStyle w:val="TM1"/>
        <w:tabs>
          <w:tab w:val="right" w:leader="dot" w:pos="9062"/>
        </w:tabs>
        <w:rPr>
          <w:rFonts w:eastAsiaTheme="minorEastAsia"/>
          <w:noProof/>
          <w:sz w:val="24"/>
          <w:szCs w:val="24"/>
          <w:lang w:eastAsia="fr-FR"/>
        </w:rPr>
      </w:pPr>
      <w:hyperlink w:anchor="_Toc112749037" w:history="1">
        <w:r w:rsidR="000C6A7B" w:rsidRPr="002F7940">
          <w:rPr>
            <w:rStyle w:val="Lienhypertexte"/>
            <w:noProof/>
          </w:rPr>
          <w:t>17. La bonification des CPE</w:t>
        </w:r>
        <w:r w:rsidR="000C6A7B">
          <w:rPr>
            <w:noProof/>
            <w:webHidden/>
          </w:rPr>
          <w:tab/>
        </w:r>
        <w:r w:rsidR="000C6A7B">
          <w:rPr>
            <w:noProof/>
            <w:webHidden/>
          </w:rPr>
          <w:fldChar w:fldCharType="begin"/>
        </w:r>
        <w:r w:rsidR="000C6A7B">
          <w:rPr>
            <w:noProof/>
            <w:webHidden/>
          </w:rPr>
          <w:instrText xml:space="preserve"> PAGEREF _Toc112749037 \h </w:instrText>
        </w:r>
        <w:r w:rsidR="000C6A7B">
          <w:rPr>
            <w:noProof/>
            <w:webHidden/>
          </w:rPr>
        </w:r>
        <w:r w:rsidR="000C6A7B">
          <w:rPr>
            <w:noProof/>
            <w:webHidden/>
          </w:rPr>
          <w:fldChar w:fldCharType="separate"/>
        </w:r>
        <w:r w:rsidR="000C6A7B">
          <w:rPr>
            <w:noProof/>
            <w:webHidden/>
          </w:rPr>
          <w:t>32</w:t>
        </w:r>
        <w:r w:rsidR="000C6A7B">
          <w:rPr>
            <w:noProof/>
            <w:webHidden/>
          </w:rPr>
          <w:fldChar w:fldCharType="end"/>
        </w:r>
      </w:hyperlink>
    </w:p>
    <w:p w14:paraId="2D496A53" w14:textId="2542B2BB" w:rsidR="000C6A7B" w:rsidRDefault="00000000">
      <w:pPr>
        <w:pStyle w:val="TM1"/>
        <w:tabs>
          <w:tab w:val="right" w:leader="dot" w:pos="9062"/>
        </w:tabs>
        <w:rPr>
          <w:rFonts w:eastAsiaTheme="minorEastAsia"/>
          <w:noProof/>
          <w:sz w:val="24"/>
          <w:szCs w:val="24"/>
          <w:lang w:eastAsia="fr-FR"/>
        </w:rPr>
      </w:pPr>
      <w:hyperlink w:anchor="_Toc112749038" w:history="1">
        <w:r w:rsidR="000C6A7B" w:rsidRPr="002F7940">
          <w:rPr>
            <w:rStyle w:val="Lienhypertexte"/>
            <w:noProof/>
          </w:rPr>
          <w:t>18. Assurances du Maître d’ouvrage</w:t>
        </w:r>
        <w:r w:rsidR="000C6A7B">
          <w:rPr>
            <w:noProof/>
            <w:webHidden/>
          </w:rPr>
          <w:tab/>
        </w:r>
        <w:r w:rsidR="000C6A7B">
          <w:rPr>
            <w:noProof/>
            <w:webHidden/>
          </w:rPr>
          <w:fldChar w:fldCharType="begin"/>
        </w:r>
        <w:r w:rsidR="000C6A7B">
          <w:rPr>
            <w:noProof/>
            <w:webHidden/>
          </w:rPr>
          <w:instrText xml:space="preserve"> PAGEREF _Toc112749038 \h </w:instrText>
        </w:r>
        <w:r w:rsidR="000C6A7B">
          <w:rPr>
            <w:noProof/>
            <w:webHidden/>
          </w:rPr>
        </w:r>
        <w:r w:rsidR="000C6A7B">
          <w:rPr>
            <w:noProof/>
            <w:webHidden/>
          </w:rPr>
          <w:fldChar w:fldCharType="separate"/>
        </w:r>
        <w:r w:rsidR="000C6A7B">
          <w:rPr>
            <w:noProof/>
            <w:webHidden/>
          </w:rPr>
          <w:t>33</w:t>
        </w:r>
        <w:r w:rsidR="000C6A7B">
          <w:rPr>
            <w:noProof/>
            <w:webHidden/>
          </w:rPr>
          <w:fldChar w:fldCharType="end"/>
        </w:r>
      </w:hyperlink>
    </w:p>
    <w:p w14:paraId="7480B7E8" w14:textId="4D76C020" w:rsidR="000C6A7B" w:rsidRDefault="00000000">
      <w:pPr>
        <w:pStyle w:val="TM1"/>
        <w:tabs>
          <w:tab w:val="right" w:leader="dot" w:pos="9062"/>
        </w:tabs>
        <w:rPr>
          <w:rFonts w:eastAsiaTheme="minorEastAsia"/>
          <w:noProof/>
          <w:sz w:val="24"/>
          <w:szCs w:val="24"/>
          <w:lang w:eastAsia="fr-FR"/>
        </w:rPr>
      </w:pPr>
      <w:hyperlink w:anchor="_Toc112749039" w:history="1">
        <w:r w:rsidR="000C6A7B" w:rsidRPr="002F7940">
          <w:rPr>
            <w:rStyle w:val="Lienhypertexte"/>
            <w:noProof/>
          </w:rPr>
          <w:t>19. Changement de règlementation</w:t>
        </w:r>
        <w:r w:rsidR="000C6A7B">
          <w:rPr>
            <w:noProof/>
            <w:webHidden/>
          </w:rPr>
          <w:tab/>
        </w:r>
        <w:r w:rsidR="000C6A7B">
          <w:rPr>
            <w:noProof/>
            <w:webHidden/>
          </w:rPr>
          <w:fldChar w:fldCharType="begin"/>
        </w:r>
        <w:r w:rsidR="000C6A7B">
          <w:rPr>
            <w:noProof/>
            <w:webHidden/>
          </w:rPr>
          <w:instrText xml:space="preserve"> PAGEREF _Toc112749039 \h </w:instrText>
        </w:r>
        <w:r w:rsidR="000C6A7B">
          <w:rPr>
            <w:noProof/>
            <w:webHidden/>
          </w:rPr>
        </w:r>
        <w:r w:rsidR="000C6A7B">
          <w:rPr>
            <w:noProof/>
            <w:webHidden/>
          </w:rPr>
          <w:fldChar w:fldCharType="separate"/>
        </w:r>
        <w:r w:rsidR="000C6A7B">
          <w:rPr>
            <w:noProof/>
            <w:webHidden/>
          </w:rPr>
          <w:t>34</w:t>
        </w:r>
        <w:r w:rsidR="000C6A7B">
          <w:rPr>
            <w:noProof/>
            <w:webHidden/>
          </w:rPr>
          <w:fldChar w:fldCharType="end"/>
        </w:r>
      </w:hyperlink>
    </w:p>
    <w:p w14:paraId="091C439C" w14:textId="40AE1AB0" w:rsidR="000C6A7B" w:rsidRDefault="00000000">
      <w:pPr>
        <w:pStyle w:val="TM1"/>
        <w:tabs>
          <w:tab w:val="right" w:leader="dot" w:pos="9062"/>
        </w:tabs>
        <w:rPr>
          <w:rFonts w:eastAsiaTheme="minorEastAsia"/>
          <w:noProof/>
          <w:sz w:val="24"/>
          <w:szCs w:val="24"/>
          <w:lang w:eastAsia="fr-FR"/>
        </w:rPr>
      </w:pPr>
      <w:hyperlink w:anchor="_Toc112749040" w:history="1">
        <w:r w:rsidR="000C6A7B" w:rsidRPr="002F7940">
          <w:rPr>
            <w:rStyle w:val="Lienhypertexte"/>
            <w:noProof/>
          </w:rPr>
          <w:t>20. Traitement des autorisations administratives</w:t>
        </w:r>
        <w:r w:rsidR="000C6A7B">
          <w:rPr>
            <w:noProof/>
            <w:webHidden/>
          </w:rPr>
          <w:tab/>
        </w:r>
        <w:r w:rsidR="000C6A7B">
          <w:rPr>
            <w:noProof/>
            <w:webHidden/>
          </w:rPr>
          <w:fldChar w:fldCharType="begin"/>
        </w:r>
        <w:r w:rsidR="000C6A7B">
          <w:rPr>
            <w:noProof/>
            <w:webHidden/>
          </w:rPr>
          <w:instrText xml:space="preserve"> PAGEREF _Toc112749040 \h </w:instrText>
        </w:r>
        <w:r w:rsidR="000C6A7B">
          <w:rPr>
            <w:noProof/>
            <w:webHidden/>
          </w:rPr>
        </w:r>
        <w:r w:rsidR="000C6A7B">
          <w:rPr>
            <w:noProof/>
            <w:webHidden/>
          </w:rPr>
          <w:fldChar w:fldCharType="separate"/>
        </w:r>
        <w:r w:rsidR="000C6A7B">
          <w:rPr>
            <w:noProof/>
            <w:webHidden/>
          </w:rPr>
          <w:t>35</w:t>
        </w:r>
        <w:r w:rsidR="000C6A7B">
          <w:rPr>
            <w:noProof/>
            <w:webHidden/>
          </w:rPr>
          <w:fldChar w:fldCharType="end"/>
        </w:r>
      </w:hyperlink>
    </w:p>
    <w:p w14:paraId="1C5A62C2" w14:textId="3C176C0B" w:rsidR="000C6A7B" w:rsidRDefault="00000000">
      <w:pPr>
        <w:pStyle w:val="TM1"/>
        <w:tabs>
          <w:tab w:val="right" w:leader="dot" w:pos="9062"/>
        </w:tabs>
        <w:rPr>
          <w:rFonts w:eastAsiaTheme="minorEastAsia"/>
          <w:noProof/>
          <w:sz w:val="24"/>
          <w:szCs w:val="24"/>
          <w:lang w:eastAsia="fr-FR"/>
        </w:rPr>
      </w:pPr>
      <w:hyperlink w:anchor="_Toc112749041" w:history="1">
        <w:r w:rsidR="000C6A7B" w:rsidRPr="002F7940">
          <w:rPr>
            <w:rStyle w:val="Lienhypertexte"/>
            <w:noProof/>
          </w:rPr>
          <w:t>21. Droit moral de l’architecte initial</w:t>
        </w:r>
        <w:r w:rsidR="000C6A7B">
          <w:rPr>
            <w:noProof/>
            <w:webHidden/>
          </w:rPr>
          <w:tab/>
        </w:r>
        <w:r w:rsidR="000C6A7B">
          <w:rPr>
            <w:noProof/>
            <w:webHidden/>
          </w:rPr>
          <w:fldChar w:fldCharType="begin"/>
        </w:r>
        <w:r w:rsidR="000C6A7B">
          <w:rPr>
            <w:noProof/>
            <w:webHidden/>
          </w:rPr>
          <w:instrText xml:space="preserve"> PAGEREF _Toc112749041 \h </w:instrText>
        </w:r>
        <w:r w:rsidR="000C6A7B">
          <w:rPr>
            <w:noProof/>
            <w:webHidden/>
          </w:rPr>
        </w:r>
        <w:r w:rsidR="000C6A7B">
          <w:rPr>
            <w:noProof/>
            <w:webHidden/>
          </w:rPr>
          <w:fldChar w:fldCharType="separate"/>
        </w:r>
        <w:r w:rsidR="000C6A7B">
          <w:rPr>
            <w:noProof/>
            <w:webHidden/>
          </w:rPr>
          <w:t>35</w:t>
        </w:r>
        <w:r w:rsidR="000C6A7B">
          <w:rPr>
            <w:noProof/>
            <w:webHidden/>
          </w:rPr>
          <w:fldChar w:fldCharType="end"/>
        </w:r>
      </w:hyperlink>
    </w:p>
    <w:p w14:paraId="528B70F6" w14:textId="79D1E78A" w:rsidR="000C6A7B" w:rsidRDefault="00000000">
      <w:pPr>
        <w:pStyle w:val="TM1"/>
        <w:tabs>
          <w:tab w:val="right" w:leader="dot" w:pos="9062"/>
        </w:tabs>
        <w:rPr>
          <w:rFonts w:eastAsiaTheme="minorEastAsia"/>
          <w:noProof/>
          <w:sz w:val="24"/>
          <w:szCs w:val="24"/>
          <w:lang w:eastAsia="fr-FR"/>
        </w:rPr>
      </w:pPr>
      <w:hyperlink w:anchor="_Toc112749042" w:history="1">
        <w:r w:rsidR="000C6A7B" w:rsidRPr="002F7940">
          <w:rPr>
            <w:rStyle w:val="Lienhypertexte"/>
            <w:noProof/>
          </w:rPr>
          <w:t>22. Traitement contractuel de l’amiante</w:t>
        </w:r>
        <w:r w:rsidR="000C6A7B">
          <w:rPr>
            <w:noProof/>
            <w:webHidden/>
          </w:rPr>
          <w:tab/>
        </w:r>
        <w:r w:rsidR="000C6A7B">
          <w:rPr>
            <w:noProof/>
            <w:webHidden/>
          </w:rPr>
          <w:fldChar w:fldCharType="begin"/>
        </w:r>
        <w:r w:rsidR="000C6A7B">
          <w:rPr>
            <w:noProof/>
            <w:webHidden/>
          </w:rPr>
          <w:instrText xml:space="preserve"> PAGEREF _Toc112749042 \h </w:instrText>
        </w:r>
        <w:r w:rsidR="000C6A7B">
          <w:rPr>
            <w:noProof/>
            <w:webHidden/>
          </w:rPr>
        </w:r>
        <w:r w:rsidR="000C6A7B">
          <w:rPr>
            <w:noProof/>
            <w:webHidden/>
          </w:rPr>
          <w:fldChar w:fldCharType="separate"/>
        </w:r>
        <w:r w:rsidR="000C6A7B">
          <w:rPr>
            <w:noProof/>
            <w:webHidden/>
          </w:rPr>
          <w:t>36</w:t>
        </w:r>
        <w:r w:rsidR="000C6A7B">
          <w:rPr>
            <w:noProof/>
            <w:webHidden/>
          </w:rPr>
          <w:fldChar w:fldCharType="end"/>
        </w:r>
      </w:hyperlink>
    </w:p>
    <w:p w14:paraId="4A7967F5" w14:textId="3B810804" w:rsidR="000C6A7B" w:rsidRDefault="00000000">
      <w:pPr>
        <w:pStyle w:val="TM1"/>
        <w:tabs>
          <w:tab w:val="right" w:leader="dot" w:pos="9062"/>
        </w:tabs>
        <w:rPr>
          <w:rFonts w:eastAsiaTheme="minorEastAsia"/>
          <w:noProof/>
          <w:sz w:val="24"/>
          <w:szCs w:val="24"/>
          <w:lang w:eastAsia="fr-FR"/>
        </w:rPr>
      </w:pPr>
      <w:hyperlink w:anchor="_Toc112749043" w:history="1">
        <w:r w:rsidR="000C6A7B" w:rsidRPr="002F7940">
          <w:rPr>
            <w:rStyle w:val="Lienhypertexte"/>
            <w:noProof/>
          </w:rPr>
          <w:t>23. Délais d’exécution de la Phase de Conception-Réalisation</w:t>
        </w:r>
        <w:r w:rsidR="000C6A7B">
          <w:rPr>
            <w:noProof/>
            <w:webHidden/>
          </w:rPr>
          <w:tab/>
        </w:r>
        <w:r w:rsidR="000C6A7B">
          <w:rPr>
            <w:noProof/>
            <w:webHidden/>
          </w:rPr>
          <w:fldChar w:fldCharType="begin"/>
        </w:r>
        <w:r w:rsidR="000C6A7B">
          <w:rPr>
            <w:noProof/>
            <w:webHidden/>
          </w:rPr>
          <w:instrText xml:space="preserve"> PAGEREF _Toc112749043 \h </w:instrText>
        </w:r>
        <w:r w:rsidR="000C6A7B">
          <w:rPr>
            <w:noProof/>
            <w:webHidden/>
          </w:rPr>
        </w:r>
        <w:r w:rsidR="000C6A7B">
          <w:rPr>
            <w:noProof/>
            <w:webHidden/>
          </w:rPr>
          <w:fldChar w:fldCharType="separate"/>
        </w:r>
        <w:r w:rsidR="000C6A7B">
          <w:rPr>
            <w:noProof/>
            <w:webHidden/>
          </w:rPr>
          <w:t>36</w:t>
        </w:r>
        <w:r w:rsidR="000C6A7B">
          <w:rPr>
            <w:noProof/>
            <w:webHidden/>
          </w:rPr>
          <w:fldChar w:fldCharType="end"/>
        </w:r>
      </w:hyperlink>
    </w:p>
    <w:p w14:paraId="2E95ECA2" w14:textId="501054F1" w:rsidR="000C6A7B" w:rsidRDefault="00000000">
      <w:pPr>
        <w:pStyle w:val="TM1"/>
        <w:tabs>
          <w:tab w:val="right" w:leader="dot" w:pos="9062"/>
        </w:tabs>
        <w:rPr>
          <w:rFonts w:eastAsiaTheme="minorEastAsia"/>
          <w:noProof/>
          <w:sz w:val="24"/>
          <w:szCs w:val="24"/>
          <w:lang w:eastAsia="fr-FR"/>
        </w:rPr>
      </w:pPr>
      <w:hyperlink w:anchor="_Toc112749044" w:history="1">
        <w:r w:rsidR="000C6A7B" w:rsidRPr="002F7940">
          <w:rPr>
            <w:rStyle w:val="Lienhypertexte"/>
            <w:noProof/>
          </w:rPr>
          <w:t>24. Pénalités</w:t>
        </w:r>
        <w:r w:rsidR="000C6A7B">
          <w:rPr>
            <w:noProof/>
            <w:webHidden/>
          </w:rPr>
          <w:tab/>
        </w:r>
        <w:r w:rsidR="000C6A7B">
          <w:rPr>
            <w:noProof/>
            <w:webHidden/>
          </w:rPr>
          <w:fldChar w:fldCharType="begin"/>
        </w:r>
        <w:r w:rsidR="000C6A7B">
          <w:rPr>
            <w:noProof/>
            <w:webHidden/>
          </w:rPr>
          <w:instrText xml:space="preserve"> PAGEREF _Toc112749044 \h </w:instrText>
        </w:r>
        <w:r w:rsidR="000C6A7B">
          <w:rPr>
            <w:noProof/>
            <w:webHidden/>
          </w:rPr>
        </w:r>
        <w:r w:rsidR="000C6A7B">
          <w:rPr>
            <w:noProof/>
            <w:webHidden/>
          </w:rPr>
          <w:fldChar w:fldCharType="separate"/>
        </w:r>
        <w:r w:rsidR="000C6A7B">
          <w:rPr>
            <w:noProof/>
            <w:webHidden/>
          </w:rPr>
          <w:t>37</w:t>
        </w:r>
        <w:r w:rsidR="000C6A7B">
          <w:rPr>
            <w:noProof/>
            <w:webHidden/>
          </w:rPr>
          <w:fldChar w:fldCharType="end"/>
        </w:r>
      </w:hyperlink>
    </w:p>
    <w:p w14:paraId="48A3D965" w14:textId="07528566" w:rsidR="000C6A7B" w:rsidRDefault="00000000">
      <w:pPr>
        <w:pStyle w:val="TM1"/>
        <w:tabs>
          <w:tab w:val="right" w:leader="dot" w:pos="9062"/>
        </w:tabs>
        <w:rPr>
          <w:rFonts w:eastAsiaTheme="minorEastAsia"/>
          <w:noProof/>
          <w:sz w:val="24"/>
          <w:szCs w:val="24"/>
          <w:lang w:eastAsia="fr-FR"/>
        </w:rPr>
      </w:pPr>
      <w:hyperlink w:anchor="_Toc112749045" w:history="1">
        <w:r w:rsidR="000C6A7B" w:rsidRPr="002F7940">
          <w:rPr>
            <w:rStyle w:val="Lienhypertexte"/>
            <w:noProof/>
          </w:rPr>
          <w:t>25. Contenu et caractère des prix du Marché</w:t>
        </w:r>
        <w:r w:rsidR="000C6A7B">
          <w:rPr>
            <w:noProof/>
            <w:webHidden/>
          </w:rPr>
          <w:tab/>
        </w:r>
        <w:r w:rsidR="000C6A7B">
          <w:rPr>
            <w:noProof/>
            <w:webHidden/>
          </w:rPr>
          <w:fldChar w:fldCharType="begin"/>
        </w:r>
        <w:r w:rsidR="000C6A7B">
          <w:rPr>
            <w:noProof/>
            <w:webHidden/>
          </w:rPr>
          <w:instrText xml:space="preserve"> PAGEREF _Toc112749045 \h </w:instrText>
        </w:r>
        <w:r w:rsidR="000C6A7B">
          <w:rPr>
            <w:noProof/>
            <w:webHidden/>
          </w:rPr>
        </w:r>
        <w:r w:rsidR="000C6A7B">
          <w:rPr>
            <w:noProof/>
            <w:webHidden/>
          </w:rPr>
          <w:fldChar w:fldCharType="separate"/>
        </w:r>
        <w:r w:rsidR="000C6A7B">
          <w:rPr>
            <w:noProof/>
            <w:webHidden/>
          </w:rPr>
          <w:t>38</w:t>
        </w:r>
        <w:r w:rsidR="000C6A7B">
          <w:rPr>
            <w:noProof/>
            <w:webHidden/>
          </w:rPr>
          <w:fldChar w:fldCharType="end"/>
        </w:r>
      </w:hyperlink>
    </w:p>
    <w:p w14:paraId="50D7C9AA" w14:textId="2EC432A5" w:rsidR="000C6A7B" w:rsidRDefault="00000000">
      <w:pPr>
        <w:pStyle w:val="TM1"/>
        <w:tabs>
          <w:tab w:val="right" w:leader="dot" w:pos="9062"/>
        </w:tabs>
        <w:rPr>
          <w:rFonts w:eastAsiaTheme="minorEastAsia"/>
          <w:noProof/>
          <w:sz w:val="24"/>
          <w:szCs w:val="24"/>
          <w:lang w:eastAsia="fr-FR"/>
        </w:rPr>
      </w:pPr>
      <w:hyperlink w:anchor="_Toc112749046" w:history="1">
        <w:r w:rsidR="000C6A7B" w:rsidRPr="002F7940">
          <w:rPr>
            <w:rStyle w:val="Lienhypertexte"/>
            <w:noProof/>
          </w:rPr>
          <w:t>26. Décompte général et définitif</w:t>
        </w:r>
        <w:r w:rsidR="000C6A7B">
          <w:rPr>
            <w:noProof/>
            <w:webHidden/>
          </w:rPr>
          <w:tab/>
        </w:r>
        <w:r w:rsidR="000C6A7B">
          <w:rPr>
            <w:noProof/>
            <w:webHidden/>
          </w:rPr>
          <w:fldChar w:fldCharType="begin"/>
        </w:r>
        <w:r w:rsidR="000C6A7B">
          <w:rPr>
            <w:noProof/>
            <w:webHidden/>
          </w:rPr>
          <w:instrText xml:space="preserve"> PAGEREF _Toc112749046 \h </w:instrText>
        </w:r>
        <w:r w:rsidR="000C6A7B">
          <w:rPr>
            <w:noProof/>
            <w:webHidden/>
          </w:rPr>
        </w:r>
        <w:r w:rsidR="000C6A7B">
          <w:rPr>
            <w:noProof/>
            <w:webHidden/>
          </w:rPr>
          <w:fldChar w:fldCharType="separate"/>
        </w:r>
        <w:r w:rsidR="000C6A7B">
          <w:rPr>
            <w:noProof/>
            <w:webHidden/>
          </w:rPr>
          <w:t>38</w:t>
        </w:r>
        <w:r w:rsidR="000C6A7B">
          <w:rPr>
            <w:noProof/>
            <w:webHidden/>
          </w:rPr>
          <w:fldChar w:fldCharType="end"/>
        </w:r>
      </w:hyperlink>
    </w:p>
    <w:p w14:paraId="01604DA9" w14:textId="1D79494D" w:rsidR="000C6A7B" w:rsidRDefault="00000000">
      <w:pPr>
        <w:pStyle w:val="TM2"/>
        <w:tabs>
          <w:tab w:val="right" w:leader="dot" w:pos="9062"/>
        </w:tabs>
        <w:rPr>
          <w:rFonts w:eastAsiaTheme="minorEastAsia" w:cstheme="minorBidi"/>
          <w:smallCaps w:val="0"/>
          <w:noProof/>
          <w:sz w:val="24"/>
          <w:szCs w:val="24"/>
          <w:lang w:eastAsia="fr-FR"/>
        </w:rPr>
      </w:pPr>
      <w:hyperlink w:anchor="_Toc112749047" w:history="1">
        <w:r w:rsidR="000C6A7B" w:rsidRPr="002F7940">
          <w:rPr>
            <w:rStyle w:val="Lienhypertexte"/>
            <w:noProof/>
          </w:rPr>
          <w:t>26.1. Enjeux de l’établissement du décompte général et définitif</w:t>
        </w:r>
        <w:r w:rsidR="000C6A7B">
          <w:rPr>
            <w:noProof/>
            <w:webHidden/>
          </w:rPr>
          <w:tab/>
        </w:r>
        <w:r w:rsidR="000C6A7B">
          <w:rPr>
            <w:noProof/>
            <w:webHidden/>
          </w:rPr>
          <w:fldChar w:fldCharType="begin"/>
        </w:r>
        <w:r w:rsidR="000C6A7B">
          <w:rPr>
            <w:noProof/>
            <w:webHidden/>
          </w:rPr>
          <w:instrText xml:space="preserve"> PAGEREF _Toc112749047 \h </w:instrText>
        </w:r>
        <w:r w:rsidR="000C6A7B">
          <w:rPr>
            <w:noProof/>
            <w:webHidden/>
          </w:rPr>
        </w:r>
        <w:r w:rsidR="000C6A7B">
          <w:rPr>
            <w:noProof/>
            <w:webHidden/>
          </w:rPr>
          <w:fldChar w:fldCharType="separate"/>
        </w:r>
        <w:r w:rsidR="000C6A7B">
          <w:rPr>
            <w:noProof/>
            <w:webHidden/>
          </w:rPr>
          <w:t>38</w:t>
        </w:r>
        <w:r w:rsidR="000C6A7B">
          <w:rPr>
            <w:noProof/>
            <w:webHidden/>
          </w:rPr>
          <w:fldChar w:fldCharType="end"/>
        </w:r>
      </w:hyperlink>
    </w:p>
    <w:p w14:paraId="66900A22" w14:textId="5376EF9C" w:rsidR="000C6A7B" w:rsidRDefault="00000000">
      <w:pPr>
        <w:pStyle w:val="TM2"/>
        <w:tabs>
          <w:tab w:val="right" w:leader="dot" w:pos="9062"/>
        </w:tabs>
        <w:rPr>
          <w:rFonts w:eastAsiaTheme="minorEastAsia" w:cstheme="minorBidi"/>
          <w:smallCaps w:val="0"/>
          <w:noProof/>
          <w:sz w:val="24"/>
          <w:szCs w:val="24"/>
          <w:lang w:eastAsia="fr-FR"/>
        </w:rPr>
      </w:pPr>
      <w:hyperlink w:anchor="_Toc112749048" w:history="1">
        <w:r w:rsidR="000C6A7B" w:rsidRPr="002F7940">
          <w:rPr>
            <w:rStyle w:val="Lienhypertexte"/>
            <w:noProof/>
          </w:rPr>
          <w:t>26.2. Particularités du décompte d’un MPGP</w:t>
        </w:r>
        <w:r w:rsidR="000C6A7B">
          <w:rPr>
            <w:noProof/>
            <w:webHidden/>
          </w:rPr>
          <w:tab/>
        </w:r>
        <w:r w:rsidR="000C6A7B">
          <w:rPr>
            <w:noProof/>
            <w:webHidden/>
          </w:rPr>
          <w:fldChar w:fldCharType="begin"/>
        </w:r>
        <w:r w:rsidR="000C6A7B">
          <w:rPr>
            <w:noProof/>
            <w:webHidden/>
          </w:rPr>
          <w:instrText xml:space="preserve"> PAGEREF _Toc112749048 \h </w:instrText>
        </w:r>
        <w:r w:rsidR="000C6A7B">
          <w:rPr>
            <w:noProof/>
            <w:webHidden/>
          </w:rPr>
        </w:r>
        <w:r w:rsidR="000C6A7B">
          <w:rPr>
            <w:noProof/>
            <w:webHidden/>
          </w:rPr>
          <w:fldChar w:fldCharType="separate"/>
        </w:r>
        <w:r w:rsidR="000C6A7B">
          <w:rPr>
            <w:noProof/>
            <w:webHidden/>
          </w:rPr>
          <w:t>38</w:t>
        </w:r>
        <w:r w:rsidR="000C6A7B">
          <w:rPr>
            <w:noProof/>
            <w:webHidden/>
          </w:rPr>
          <w:fldChar w:fldCharType="end"/>
        </w:r>
      </w:hyperlink>
    </w:p>
    <w:p w14:paraId="3EE1ADF8" w14:textId="6768B9B3" w:rsidR="000C6A7B" w:rsidRDefault="00000000">
      <w:pPr>
        <w:pStyle w:val="TM1"/>
        <w:tabs>
          <w:tab w:val="right" w:leader="dot" w:pos="9062"/>
        </w:tabs>
        <w:rPr>
          <w:rFonts w:eastAsiaTheme="minorEastAsia"/>
          <w:noProof/>
          <w:sz w:val="24"/>
          <w:szCs w:val="24"/>
          <w:lang w:eastAsia="fr-FR"/>
        </w:rPr>
      </w:pPr>
      <w:hyperlink w:anchor="_Toc112749049" w:history="1">
        <w:r w:rsidR="000C6A7B" w:rsidRPr="002F7940">
          <w:rPr>
            <w:rStyle w:val="Lienhypertexte"/>
            <w:noProof/>
          </w:rPr>
          <w:t>27. Réception des Actions de Rénovation et garanties</w:t>
        </w:r>
        <w:r w:rsidR="000C6A7B">
          <w:rPr>
            <w:noProof/>
            <w:webHidden/>
          </w:rPr>
          <w:tab/>
        </w:r>
        <w:r w:rsidR="000C6A7B">
          <w:rPr>
            <w:noProof/>
            <w:webHidden/>
          </w:rPr>
          <w:fldChar w:fldCharType="begin"/>
        </w:r>
        <w:r w:rsidR="000C6A7B">
          <w:rPr>
            <w:noProof/>
            <w:webHidden/>
          </w:rPr>
          <w:instrText xml:space="preserve"> PAGEREF _Toc112749049 \h </w:instrText>
        </w:r>
        <w:r w:rsidR="000C6A7B">
          <w:rPr>
            <w:noProof/>
            <w:webHidden/>
          </w:rPr>
        </w:r>
        <w:r w:rsidR="000C6A7B">
          <w:rPr>
            <w:noProof/>
            <w:webHidden/>
          </w:rPr>
          <w:fldChar w:fldCharType="separate"/>
        </w:r>
        <w:r w:rsidR="000C6A7B">
          <w:rPr>
            <w:noProof/>
            <w:webHidden/>
          </w:rPr>
          <w:t>40</w:t>
        </w:r>
        <w:r w:rsidR="000C6A7B">
          <w:rPr>
            <w:noProof/>
            <w:webHidden/>
          </w:rPr>
          <w:fldChar w:fldCharType="end"/>
        </w:r>
      </w:hyperlink>
    </w:p>
    <w:p w14:paraId="72DBCC72" w14:textId="7064EB04" w:rsidR="000C6A7B" w:rsidRDefault="00000000">
      <w:pPr>
        <w:pStyle w:val="TM1"/>
        <w:tabs>
          <w:tab w:val="right" w:leader="dot" w:pos="9062"/>
        </w:tabs>
        <w:rPr>
          <w:rFonts w:eastAsiaTheme="minorEastAsia"/>
          <w:noProof/>
          <w:sz w:val="24"/>
          <w:szCs w:val="24"/>
          <w:lang w:eastAsia="fr-FR"/>
        </w:rPr>
      </w:pPr>
      <w:hyperlink w:anchor="_Toc112749050" w:history="1">
        <w:r w:rsidR="000C6A7B" w:rsidRPr="002F7940">
          <w:rPr>
            <w:rStyle w:val="Lienhypertexte"/>
            <w:noProof/>
          </w:rPr>
          <w:t>28. Durée et délais d’exécution de la Phase d’Exploitation-Maintenance</w:t>
        </w:r>
        <w:r w:rsidR="000C6A7B">
          <w:rPr>
            <w:noProof/>
            <w:webHidden/>
          </w:rPr>
          <w:tab/>
        </w:r>
        <w:r w:rsidR="000C6A7B">
          <w:rPr>
            <w:noProof/>
            <w:webHidden/>
          </w:rPr>
          <w:fldChar w:fldCharType="begin"/>
        </w:r>
        <w:r w:rsidR="000C6A7B">
          <w:rPr>
            <w:noProof/>
            <w:webHidden/>
          </w:rPr>
          <w:instrText xml:space="preserve"> PAGEREF _Toc112749050 \h </w:instrText>
        </w:r>
        <w:r w:rsidR="000C6A7B">
          <w:rPr>
            <w:noProof/>
            <w:webHidden/>
          </w:rPr>
        </w:r>
        <w:r w:rsidR="000C6A7B">
          <w:rPr>
            <w:noProof/>
            <w:webHidden/>
          </w:rPr>
          <w:fldChar w:fldCharType="separate"/>
        </w:r>
        <w:r w:rsidR="000C6A7B">
          <w:rPr>
            <w:noProof/>
            <w:webHidden/>
          </w:rPr>
          <w:t>40</w:t>
        </w:r>
        <w:r w:rsidR="000C6A7B">
          <w:rPr>
            <w:noProof/>
            <w:webHidden/>
          </w:rPr>
          <w:fldChar w:fldCharType="end"/>
        </w:r>
      </w:hyperlink>
    </w:p>
    <w:p w14:paraId="753F2AF2" w14:textId="4F37F982" w:rsidR="000C6A7B" w:rsidRDefault="00000000">
      <w:pPr>
        <w:pStyle w:val="TM1"/>
        <w:tabs>
          <w:tab w:val="right" w:leader="dot" w:pos="9062"/>
        </w:tabs>
        <w:rPr>
          <w:rFonts w:eastAsiaTheme="minorEastAsia"/>
          <w:noProof/>
          <w:sz w:val="24"/>
          <w:szCs w:val="24"/>
          <w:lang w:eastAsia="fr-FR"/>
        </w:rPr>
      </w:pPr>
      <w:hyperlink w:anchor="_Toc112749051" w:history="1">
        <w:r w:rsidR="000C6A7B" w:rsidRPr="002F7940">
          <w:rPr>
            <w:rStyle w:val="Lienhypertexte"/>
            <w:noProof/>
          </w:rPr>
          <w:t>29. Compte GER</w:t>
        </w:r>
        <w:r w:rsidR="000C6A7B">
          <w:rPr>
            <w:noProof/>
            <w:webHidden/>
          </w:rPr>
          <w:tab/>
        </w:r>
        <w:r w:rsidR="000C6A7B">
          <w:rPr>
            <w:noProof/>
            <w:webHidden/>
          </w:rPr>
          <w:fldChar w:fldCharType="begin"/>
        </w:r>
        <w:r w:rsidR="000C6A7B">
          <w:rPr>
            <w:noProof/>
            <w:webHidden/>
          </w:rPr>
          <w:instrText xml:space="preserve"> PAGEREF _Toc112749051 \h </w:instrText>
        </w:r>
        <w:r w:rsidR="000C6A7B">
          <w:rPr>
            <w:noProof/>
            <w:webHidden/>
          </w:rPr>
        </w:r>
        <w:r w:rsidR="000C6A7B">
          <w:rPr>
            <w:noProof/>
            <w:webHidden/>
          </w:rPr>
          <w:fldChar w:fldCharType="separate"/>
        </w:r>
        <w:r w:rsidR="000C6A7B">
          <w:rPr>
            <w:noProof/>
            <w:webHidden/>
          </w:rPr>
          <w:t>41</w:t>
        </w:r>
        <w:r w:rsidR="000C6A7B">
          <w:rPr>
            <w:noProof/>
            <w:webHidden/>
          </w:rPr>
          <w:fldChar w:fldCharType="end"/>
        </w:r>
      </w:hyperlink>
    </w:p>
    <w:p w14:paraId="135F77BC" w14:textId="15BA828A" w:rsidR="000C6A7B" w:rsidRDefault="00000000">
      <w:pPr>
        <w:pStyle w:val="TM1"/>
        <w:tabs>
          <w:tab w:val="right" w:leader="dot" w:pos="9062"/>
        </w:tabs>
        <w:rPr>
          <w:rFonts w:eastAsiaTheme="minorEastAsia"/>
          <w:noProof/>
          <w:sz w:val="24"/>
          <w:szCs w:val="24"/>
          <w:lang w:eastAsia="fr-FR"/>
        </w:rPr>
      </w:pPr>
      <w:hyperlink w:anchor="_Toc112749052" w:history="1">
        <w:r w:rsidR="000C6A7B" w:rsidRPr="002F7940">
          <w:rPr>
            <w:rStyle w:val="Lienhypertexte"/>
            <w:noProof/>
          </w:rPr>
          <w:t>30. Insertion sociale</w:t>
        </w:r>
        <w:r w:rsidR="000C6A7B">
          <w:rPr>
            <w:noProof/>
            <w:webHidden/>
          </w:rPr>
          <w:tab/>
        </w:r>
        <w:r w:rsidR="000C6A7B">
          <w:rPr>
            <w:noProof/>
            <w:webHidden/>
          </w:rPr>
          <w:fldChar w:fldCharType="begin"/>
        </w:r>
        <w:r w:rsidR="000C6A7B">
          <w:rPr>
            <w:noProof/>
            <w:webHidden/>
          </w:rPr>
          <w:instrText xml:space="preserve"> PAGEREF _Toc112749052 \h </w:instrText>
        </w:r>
        <w:r w:rsidR="000C6A7B">
          <w:rPr>
            <w:noProof/>
            <w:webHidden/>
          </w:rPr>
        </w:r>
        <w:r w:rsidR="000C6A7B">
          <w:rPr>
            <w:noProof/>
            <w:webHidden/>
          </w:rPr>
          <w:fldChar w:fldCharType="separate"/>
        </w:r>
        <w:r w:rsidR="000C6A7B">
          <w:rPr>
            <w:noProof/>
            <w:webHidden/>
          </w:rPr>
          <w:t>41</w:t>
        </w:r>
        <w:r w:rsidR="000C6A7B">
          <w:rPr>
            <w:noProof/>
            <w:webHidden/>
          </w:rPr>
          <w:fldChar w:fldCharType="end"/>
        </w:r>
      </w:hyperlink>
    </w:p>
    <w:p w14:paraId="5081177A" w14:textId="6AD54AE9" w:rsidR="000C6A7B" w:rsidRDefault="00000000">
      <w:pPr>
        <w:pStyle w:val="TM1"/>
        <w:tabs>
          <w:tab w:val="right" w:leader="dot" w:pos="9062"/>
        </w:tabs>
        <w:rPr>
          <w:rFonts w:eastAsiaTheme="minorEastAsia"/>
          <w:noProof/>
          <w:sz w:val="24"/>
          <w:szCs w:val="24"/>
          <w:lang w:eastAsia="fr-FR"/>
        </w:rPr>
      </w:pPr>
      <w:hyperlink w:anchor="_Toc112749053" w:history="1">
        <w:r w:rsidR="000C6A7B" w:rsidRPr="002F7940">
          <w:rPr>
            <w:rStyle w:val="Lienhypertexte"/>
            <w:noProof/>
          </w:rPr>
          <w:t>Index</w:t>
        </w:r>
        <w:r w:rsidR="000C6A7B">
          <w:rPr>
            <w:noProof/>
            <w:webHidden/>
          </w:rPr>
          <w:tab/>
        </w:r>
        <w:r w:rsidR="000C6A7B">
          <w:rPr>
            <w:noProof/>
            <w:webHidden/>
          </w:rPr>
          <w:fldChar w:fldCharType="begin"/>
        </w:r>
        <w:r w:rsidR="000C6A7B">
          <w:rPr>
            <w:noProof/>
            <w:webHidden/>
          </w:rPr>
          <w:instrText xml:space="preserve"> PAGEREF _Toc112749053 \h </w:instrText>
        </w:r>
        <w:r w:rsidR="000C6A7B">
          <w:rPr>
            <w:noProof/>
            <w:webHidden/>
          </w:rPr>
        </w:r>
        <w:r w:rsidR="000C6A7B">
          <w:rPr>
            <w:noProof/>
            <w:webHidden/>
          </w:rPr>
          <w:fldChar w:fldCharType="separate"/>
        </w:r>
        <w:r w:rsidR="000C6A7B">
          <w:rPr>
            <w:noProof/>
            <w:webHidden/>
          </w:rPr>
          <w:t>42</w:t>
        </w:r>
        <w:r w:rsidR="000C6A7B">
          <w:rPr>
            <w:noProof/>
            <w:webHidden/>
          </w:rPr>
          <w:fldChar w:fldCharType="end"/>
        </w:r>
      </w:hyperlink>
    </w:p>
    <w:p w14:paraId="036E754C" w14:textId="7EABBDC8" w:rsidR="000C6A7B" w:rsidRDefault="00000000">
      <w:pPr>
        <w:pStyle w:val="TM1"/>
        <w:tabs>
          <w:tab w:val="right" w:leader="dot" w:pos="9062"/>
        </w:tabs>
        <w:rPr>
          <w:rFonts w:eastAsiaTheme="minorEastAsia"/>
          <w:noProof/>
          <w:sz w:val="24"/>
          <w:szCs w:val="24"/>
          <w:lang w:eastAsia="fr-FR"/>
        </w:rPr>
      </w:pPr>
      <w:hyperlink w:anchor="_Toc112749054" w:history="1">
        <w:r w:rsidR="000C6A7B" w:rsidRPr="002F7940">
          <w:rPr>
            <w:rStyle w:val="Lienhypertexte"/>
            <w:noProof/>
          </w:rPr>
          <w:t>Annexe : Groupe de travail</w:t>
        </w:r>
        <w:r w:rsidR="000C6A7B">
          <w:rPr>
            <w:noProof/>
            <w:webHidden/>
          </w:rPr>
          <w:tab/>
        </w:r>
        <w:r w:rsidR="000C6A7B">
          <w:rPr>
            <w:noProof/>
            <w:webHidden/>
          </w:rPr>
          <w:fldChar w:fldCharType="begin"/>
        </w:r>
        <w:r w:rsidR="000C6A7B">
          <w:rPr>
            <w:noProof/>
            <w:webHidden/>
          </w:rPr>
          <w:instrText xml:space="preserve"> PAGEREF _Toc112749054 \h </w:instrText>
        </w:r>
        <w:r w:rsidR="000C6A7B">
          <w:rPr>
            <w:noProof/>
            <w:webHidden/>
          </w:rPr>
        </w:r>
        <w:r w:rsidR="000C6A7B">
          <w:rPr>
            <w:noProof/>
            <w:webHidden/>
          </w:rPr>
          <w:fldChar w:fldCharType="separate"/>
        </w:r>
        <w:r w:rsidR="000C6A7B">
          <w:rPr>
            <w:noProof/>
            <w:webHidden/>
          </w:rPr>
          <w:t>43</w:t>
        </w:r>
        <w:r w:rsidR="000C6A7B">
          <w:rPr>
            <w:noProof/>
            <w:webHidden/>
          </w:rPr>
          <w:fldChar w:fldCharType="end"/>
        </w:r>
      </w:hyperlink>
    </w:p>
    <w:p w14:paraId="5C060919" w14:textId="3F968D25" w:rsidR="009B5EB2" w:rsidRDefault="006D5F3D" w:rsidP="00AA6146">
      <w:pPr>
        <w:spacing w:line="240" w:lineRule="auto"/>
      </w:pPr>
      <w:r>
        <w:fldChar w:fldCharType="end"/>
      </w:r>
    </w:p>
    <w:p w14:paraId="0FE85EC5" w14:textId="77777777" w:rsidR="008210DC" w:rsidRDefault="008210DC" w:rsidP="00AA6146">
      <w:pPr>
        <w:spacing w:line="240" w:lineRule="auto"/>
        <w:rPr>
          <w:sz w:val="36"/>
          <w:szCs w:val="36"/>
        </w:rPr>
      </w:pPr>
      <w:r>
        <w:rPr>
          <w:sz w:val="36"/>
          <w:szCs w:val="36"/>
        </w:rPr>
        <w:br w:type="page"/>
      </w:r>
    </w:p>
    <w:p w14:paraId="3E854753" w14:textId="76F6C27F" w:rsidR="009B5EB2" w:rsidRPr="009A17BE" w:rsidRDefault="00AA5261" w:rsidP="00AA6146">
      <w:pPr>
        <w:pStyle w:val="Titre"/>
        <w:spacing w:line="240" w:lineRule="auto"/>
      </w:pPr>
      <w:bookmarkStart w:id="0" w:name="_Toc112748985"/>
      <w:r w:rsidRPr="00334362">
        <w:lastRenderedPageBreak/>
        <w:t xml:space="preserve">Partie I : </w:t>
      </w:r>
      <w:r w:rsidR="00F03A83">
        <w:t>P</w:t>
      </w:r>
      <w:r w:rsidR="00F03A83" w:rsidRPr="00AA6146">
        <w:t xml:space="preserve">résentation </w:t>
      </w:r>
      <w:r w:rsidRPr="00AA6146">
        <w:t xml:space="preserve">du </w:t>
      </w:r>
      <w:r w:rsidR="006E1DD3">
        <w:t>C</w:t>
      </w:r>
      <w:r w:rsidRPr="006E1DD3">
        <w:t>lausier</w:t>
      </w:r>
      <w:r w:rsidR="00D067C6">
        <w:t xml:space="preserve"> CPE FNCCR</w:t>
      </w:r>
      <w:bookmarkEnd w:id="0"/>
    </w:p>
    <w:p w14:paraId="1464B798" w14:textId="794E491D" w:rsidR="009B793D" w:rsidRPr="009B793D" w:rsidRDefault="00B40AE7" w:rsidP="00AA6146">
      <w:pPr>
        <w:pStyle w:val="Titre1"/>
        <w:spacing w:line="240" w:lineRule="auto"/>
      </w:pPr>
      <w:r w:rsidRPr="008B571E">
        <w:fldChar w:fldCharType="begin"/>
      </w:r>
      <w:r w:rsidRPr="008B571E">
        <w:instrText xml:space="preserve"> AUTONUMLGL </w:instrText>
      </w:r>
      <w:bookmarkStart w:id="1" w:name="_Toc112748986"/>
      <w:r w:rsidRPr="008B571E">
        <w:fldChar w:fldCharType="end"/>
      </w:r>
      <w:r w:rsidRPr="008B571E">
        <w:t xml:space="preserve"> </w:t>
      </w:r>
      <w:r w:rsidR="0019191F">
        <w:t>Objectifs du Clausier</w:t>
      </w:r>
      <w:r w:rsidR="00D067C6">
        <w:t xml:space="preserve"> CPE FNCCR</w:t>
      </w:r>
      <w:bookmarkEnd w:id="1"/>
    </w:p>
    <w:p w14:paraId="1D91DEAD" w14:textId="6266E899" w:rsidR="00D23B71" w:rsidRPr="001B27B3" w:rsidRDefault="00AD5BA7" w:rsidP="00AA6146">
      <w:pPr>
        <w:spacing w:line="240" w:lineRule="auto"/>
        <w:jc w:val="both"/>
      </w:pPr>
      <w:r w:rsidRPr="00D7756F">
        <w:t>La Fédération nationale des collectivités concédantes et régies (FNCCR</w:t>
      </w:r>
      <w:r>
        <w:t xml:space="preserve">) est </w:t>
      </w:r>
      <w:r w:rsidRPr="00D7756F">
        <w:t>lauréate du Programme CEE ACTEE (Action des collectivités territoriales pour l’efficacité énergétique) dont l’objectif est de rénover partiellement ou entièrement environ 50</w:t>
      </w:r>
      <w:r w:rsidR="00D65673">
        <w:t> </w:t>
      </w:r>
      <w:r w:rsidRPr="00D7756F">
        <w:t>000 bâtiments sur l’ensemble des AMI et sous-programmes</w:t>
      </w:r>
      <w:r>
        <w:t xml:space="preserve"> spécifiques. </w:t>
      </w:r>
      <w:r w:rsidRPr="00D7756F">
        <w:t>Le programme</w:t>
      </w:r>
      <w:r w:rsidR="00FE378A">
        <w:t xml:space="preserve"> </w:t>
      </w:r>
      <w:r w:rsidRPr="00D7756F">
        <w:t>ACTEE a pour ambition la rénovation du patrimoine public bâti grâce à une approche long terme et pluriannuelle et souhaite favoriser la mutualisation de collectivités de toute taille afin de connecter les territoires en impulsant des dynamiques locales d’efficacité énergétique et bas carbone.</w:t>
      </w:r>
    </w:p>
    <w:p w14:paraId="3D83AAA2" w14:textId="77777777" w:rsidR="001869F6" w:rsidRPr="00D7756F" w:rsidRDefault="001869F6" w:rsidP="00AA6146">
      <w:pPr>
        <w:spacing w:line="240" w:lineRule="auto"/>
        <w:jc w:val="both"/>
      </w:pPr>
      <w:r w:rsidRPr="00D7756F">
        <w:t>Ce programme apporte aux collectivités un accompagnement financier pour la réalisation de démarches mutualisées d’efficacité énergétique dans le cadre des différents appels à manifestation d’intérêt.</w:t>
      </w:r>
      <w:r>
        <w:t xml:space="preserve"> L</w:t>
      </w:r>
      <w:r w:rsidRPr="00D7756F">
        <w:t>e programme ACTEE développe depuis son lancement une bibliothèque d’outils ainsi qu’un centre de ressource à destination des collectivités</w:t>
      </w:r>
      <w:r>
        <w:t xml:space="preserve">. </w:t>
      </w:r>
      <w:r w:rsidRPr="00D7756F">
        <w:t>Ce soutien à destination des collectivités se matérialisera</w:t>
      </w:r>
      <w:r>
        <w:t xml:space="preserve"> également</w:t>
      </w:r>
      <w:r w:rsidRPr="00D7756F">
        <w:t xml:space="preserve"> par la mise en place d’une cellule de soutien dès janvier 2021 apportant aux collectivités l’ingénierie juridique et technique nécessaire à la réalisation de leurs projets. </w:t>
      </w:r>
    </w:p>
    <w:p w14:paraId="21DF7A1C" w14:textId="2406B8F2" w:rsidR="009C0CCE" w:rsidRDefault="00AD5BA7" w:rsidP="00AA6146">
      <w:pPr>
        <w:spacing w:line="240" w:lineRule="auto"/>
        <w:jc w:val="both"/>
      </w:pPr>
      <w:r>
        <w:t xml:space="preserve">A cet égard, </w:t>
      </w:r>
      <w:r w:rsidR="001869F6" w:rsidRPr="00D7756F">
        <w:t>la FNCCR a été chargée par la Direction Générale de l’</w:t>
      </w:r>
      <w:r w:rsidR="00FE378A" w:rsidRPr="00D7756F">
        <w:t>Énergie</w:t>
      </w:r>
      <w:r w:rsidR="001869F6" w:rsidRPr="00D7756F">
        <w:t xml:space="preserve"> et du Climat du Ministère de la Transition </w:t>
      </w:r>
      <w:r w:rsidR="00FE378A" w:rsidRPr="00D7756F">
        <w:t>Écologique</w:t>
      </w:r>
      <w:r w:rsidR="001869F6">
        <w:t xml:space="preserve"> </w:t>
      </w:r>
      <w:r w:rsidR="001869F6" w:rsidRPr="00D7756F">
        <w:t>et Solidaire</w:t>
      </w:r>
      <w:r w:rsidR="00097C80">
        <w:t>,</w:t>
      </w:r>
      <w:r w:rsidR="001869F6" w:rsidRPr="00D7756F">
        <w:t xml:space="preserve"> de mettre à jour, avec le cabinet Lex</w:t>
      </w:r>
      <w:r w:rsidR="00842454">
        <w:t>C</w:t>
      </w:r>
      <w:r w:rsidR="001869F6" w:rsidRPr="00D7756F">
        <w:t>ity</w:t>
      </w:r>
      <w:r w:rsidR="00F91705">
        <w:t xml:space="preserve"> </w:t>
      </w:r>
      <w:r w:rsidR="00A32525">
        <w:t>a</w:t>
      </w:r>
      <w:r w:rsidR="00F91705">
        <w:t>vocats</w:t>
      </w:r>
      <w:r w:rsidR="001869F6" w:rsidRPr="00D7756F">
        <w:t xml:space="preserve">, le </w:t>
      </w:r>
      <w:r w:rsidR="00865AA7">
        <w:t>Clausier CPE FNCCR</w:t>
      </w:r>
      <w:r w:rsidR="001869F6" w:rsidRPr="00D7756F">
        <w:t xml:space="preserve"> </w:t>
      </w:r>
      <w:r w:rsidR="001869F6">
        <w:t xml:space="preserve">relatif au </w:t>
      </w:r>
      <w:r w:rsidR="001869F6" w:rsidRPr="00D7756F">
        <w:t>C</w:t>
      </w:r>
      <w:r w:rsidR="001869F6">
        <w:t xml:space="preserve">ontrat de </w:t>
      </w:r>
      <w:r w:rsidR="001869F6" w:rsidRPr="00D7756F">
        <w:t>P</w:t>
      </w:r>
      <w:r w:rsidR="001869F6">
        <w:t xml:space="preserve">erformance </w:t>
      </w:r>
      <w:r w:rsidR="00FE378A" w:rsidRPr="00D7756F">
        <w:t>É</w:t>
      </w:r>
      <w:r w:rsidR="00FE378A">
        <w:t>nergétique</w:t>
      </w:r>
      <w:r w:rsidR="001869F6" w:rsidRPr="00D7756F">
        <w:t xml:space="preserve"> publié en 2012</w:t>
      </w:r>
      <w:r w:rsidR="009C0CCE">
        <w:t xml:space="preserve"> et de le rendre </w:t>
      </w:r>
      <w:r w:rsidR="009C0CCE" w:rsidRPr="009C0CCE">
        <w:t xml:space="preserve">compatible avec les nouvelles règles et outils de la commande publique </w:t>
      </w:r>
      <w:r w:rsidR="009C0CCE">
        <w:t>afin qu’il</w:t>
      </w:r>
      <w:r w:rsidR="009C0CCE" w:rsidRPr="009C0CCE">
        <w:t xml:space="preserve"> s’insère dans les nouveaux schémas financiers et organisations territoriale</w:t>
      </w:r>
      <w:r w:rsidR="009C0CCE">
        <w:t xml:space="preserve"> et vienne compléter </w:t>
      </w:r>
      <w:r w:rsidR="009C0CCE" w:rsidRPr="009C0CCE">
        <w:t>les outils méthodologiques à destination des collectivités en matière de rénovation énergétique</w:t>
      </w:r>
      <w:r w:rsidR="00B22A23">
        <w:t>.</w:t>
      </w:r>
    </w:p>
    <w:p w14:paraId="25E1104E" w14:textId="5206821C" w:rsidR="009073B1" w:rsidRDefault="00560024" w:rsidP="00AA6146">
      <w:pPr>
        <w:spacing w:line="240" w:lineRule="auto"/>
        <w:jc w:val="both"/>
      </w:pPr>
      <w:r>
        <w:t xml:space="preserve">Coordonné par la FNCCR, </w:t>
      </w:r>
      <w:r w:rsidR="00097C80">
        <w:t>un</w:t>
      </w:r>
      <w:r>
        <w:t xml:space="preserve"> groupe de travai</w:t>
      </w:r>
      <w:r w:rsidR="001869F6">
        <w:t xml:space="preserve">l </w:t>
      </w:r>
      <w:r w:rsidR="003B668A">
        <w:t xml:space="preserve">(« GT ») </w:t>
      </w:r>
      <w:r w:rsidR="00097C80">
        <w:t xml:space="preserve">composé de collectivités, </w:t>
      </w:r>
      <w:r w:rsidR="002E37D5">
        <w:t>d’</w:t>
      </w:r>
      <w:r w:rsidR="00097C80">
        <w:t xml:space="preserve">opérateurs de CPE et </w:t>
      </w:r>
      <w:r w:rsidR="002E37D5">
        <w:t xml:space="preserve">de </w:t>
      </w:r>
      <w:r w:rsidR="00097C80">
        <w:t xml:space="preserve">représentants </w:t>
      </w:r>
      <w:r w:rsidR="001163AC">
        <w:t>des entreprises</w:t>
      </w:r>
      <w:r w:rsidR="006E1DD3">
        <w:rPr>
          <w:rStyle w:val="Appelnotedebasdep"/>
        </w:rPr>
        <w:footnoteReference w:id="2"/>
      </w:r>
      <w:r w:rsidR="001163AC">
        <w:t xml:space="preserve"> </w:t>
      </w:r>
      <w:r w:rsidR="001869F6">
        <w:t xml:space="preserve">a permis d’engager </w:t>
      </w:r>
      <w:r w:rsidR="002E37D5">
        <w:t xml:space="preserve">et de discuter </w:t>
      </w:r>
      <w:r w:rsidR="001869F6">
        <w:t xml:space="preserve">la production </w:t>
      </w:r>
      <w:r w:rsidR="001869F6" w:rsidRPr="00D7756F">
        <w:t xml:space="preserve">de nouvelles </w:t>
      </w:r>
      <w:r w:rsidR="00F37CC7">
        <w:t>pièces de marché</w:t>
      </w:r>
      <w:r w:rsidR="001869F6" w:rsidRPr="00D7756F">
        <w:t xml:space="preserve"> adaptées à ce nouveau cadre</w:t>
      </w:r>
      <w:r w:rsidR="002E37D5">
        <w:t xml:space="preserve"> </w:t>
      </w:r>
      <w:r w:rsidR="005D2A70">
        <w:t>(le « Clausier CPE</w:t>
      </w:r>
      <w:r w:rsidR="00D067C6">
        <w:t xml:space="preserve"> FNCCR</w:t>
      </w:r>
      <w:r w:rsidR="005D2A70">
        <w:t xml:space="preserve"> ») </w:t>
      </w:r>
      <w:r w:rsidR="001869F6" w:rsidRPr="00D7756F">
        <w:t>: un cahier des clauses administratives générales (CCAG)</w:t>
      </w:r>
      <w:r w:rsidR="001869F6">
        <w:t xml:space="preserve">, </w:t>
      </w:r>
      <w:r w:rsidR="001869F6" w:rsidRPr="00D7756F">
        <w:t>un cahier des clauses administratives particulières (CCAP)</w:t>
      </w:r>
      <w:r w:rsidR="001869F6">
        <w:t xml:space="preserve">, </w:t>
      </w:r>
      <w:r w:rsidR="001869F6" w:rsidRPr="00D7756F">
        <w:t xml:space="preserve">des </w:t>
      </w:r>
      <w:r w:rsidR="001869F6" w:rsidRPr="007E0A37">
        <w:t>modèles d’avis d’appel public à la concurrence et</w:t>
      </w:r>
      <w:r w:rsidR="0019191F" w:rsidRPr="007E0A37">
        <w:t xml:space="preserve"> </w:t>
      </w:r>
      <w:r w:rsidR="001869F6" w:rsidRPr="007E0A37">
        <w:t xml:space="preserve">règlement de consultation, ainsi </w:t>
      </w:r>
      <w:r w:rsidR="009073B1" w:rsidRPr="007E0A37">
        <w:t>que le présent</w:t>
      </w:r>
      <w:r w:rsidR="001869F6" w:rsidRPr="007E0A37">
        <w:t xml:space="preserve"> guide d’utilisation.</w:t>
      </w:r>
      <w:r w:rsidR="001869F6">
        <w:t xml:space="preserve"> </w:t>
      </w:r>
    </w:p>
    <w:p w14:paraId="7DAE77BF" w14:textId="5EBA5705" w:rsidR="00560024" w:rsidRDefault="00F37CC7" w:rsidP="00AA6146">
      <w:pPr>
        <w:spacing w:line="240" w:lineRule="auto"/>
        <w:jc w:val="both"/>
      </w:pPr>
      <w:r>
        <w:t>Ce guide</w:t>
      </w:r>
      <w:r w:rsidR="0013301B">
        <w:t>,</w:t>
      </w:r>
      <w:r>
        <w:t xml:space="preserve"> ainsi </w:t>
      </w:r>
      <w:r w:rsidR="001163AC">
        <w:t xml:space="preserve">que </w:t>
      </w:r>
      <w:r>
        <w:t>les modèles de documents</w:t>
      </w:r>
      <w:r w:rsidR="009420FB">
        <w:t>,</w:t>
      </w:r>
      <w:r>
        <w:t xml:space="preserve"> intégreront des focus et des recommandations afin d’accompagner </w:t>
      </w:r>
      <w:r w:rsidR="001163AC">
        <w:t>les collectivités</w:t>
      </w:r>
      <w:r>
        <w:t xml:space="preserve"> dans la mise en place de</w:t>
      </w:r>
      <w:r w:rsidR="00B22A23">
        <w:t xml:space="preserve"> leur</w:t>
      </w:r>
      <w:r>
        <w:t>s contrats de performance énergétique</w:t>
      </w:r>
      <w:r w:rsidR="00953CFC">
        <w:t xml:space="preserve"> (« CPE »)</w:t>
      </w:r>
      <w:r>
        <w:t xml:space="preserve">. </w:t>
      </w:r>
      <w:r w:rsidR="009073B1">
        <w:t>L</w:t>
      </w:r>
      <w:r>
        <w:t xml:space="preserve">e </w:t>
      </w:r>
      <w:r w:rsidR="00865AA7">
        <w:t>Clausier CPE FNCCR</w:t>
      </w:r>
      <w:r>
        <w:t xml:space="preserve"> </w:t>
      </w:r>
      <w:r w:rsidR="009073B1">
        <w:t>constitue</w:t>
      </w:r>
      <w:r>
        <w:t xml:space="preserve"> un outil opérationnel permettant aux collectivités de </w:t>
      </w:r>
      <w:r w:rsidRPr="00EB4219">
        <w:t xml:space="preserve">faire émerger </w:t>
      </w:r>
      <w:r>
        <w:t>des projets de</w:t>
      </w:r>
      <w:r w:rsidRPr="00EB4219">
        <w:t xml:space="preserve"> rénovation énergétique </w:t>
      </w:r>
      <w:r>
        <w:t>adaptés à l</w:t>
      </w:r>
      <w:r w:rsidRPr="00EB4219">
        <w:t>eur territoire</w:t>
      </w:r>
      <w:r>
        <w:t xml:space="preserve">. </w:t>
      </w:r>
      <w:r w:rsidR="009C0CCE">
        <w:t>Il a été construit afin que les collectivités de toute taille puisse</w:t>
      </w:r>
      <w:r w:rsidR="009420FB">
        <w:t>nt</w:t>
      </w:r>
      <w:r w:rsidR="009C0CCE">
        <w:t xml:space="preserve"> s’en saisir pour leur projet de rénovation énergétique.</w:t>
      </w:r>
    </w:p>
    <w:p w14:paraId="3EED2B61" w14:textId="2DA93568" w:rsidR="00027634" w:rsidRPr="00027634" w:rsidRDefault="00DF430B" w:rsidP="00AA6146">
      <w:pPr>
        <w:spacing w:line="240" w:lineRule="auto"/>
        <w:jc w:val="both"/>
      </w:pPr>
      <w:r>
        <w:t xml:space="preserve">Enfin, ce travail a été réalisé en collaboration étroite avec </w:t>
      </w:r>
      <w:r w:rsidR="009C0CCE">
        <w:t>l’ensemble des parties prenantes</w:t>
      </w:r>
      <w:r w:rsidR="009A566C">
        <w:t xml:space="preserve"> intéressé</w:t>
      </w:r>
      <w:r w:rsidR="003B668A">
        <w:t>es</w:t>
      </w:r>
      <w:r w:rsidR="009A566C">
        <w:t xml:space="preserve"> par ce projet. </w:t>
      </w:r>
      <w:r w:rsidR="00CA6A2C">
        <w:t xml:space="preserve">Les consultations qui ont été menées auprès de ces différents acteurs </w:t>
      </w:r>
      <w:r w:rsidR="009C0CCE">
        <w:t xml:space="preserve">à travers plusieurs </w:t>
      </w:r>
      <w:r w:rsidR="003B668A">
        <w:t xml:space="preserve">réunions du </w:t>
      </w:r>
      <w:r w:rsidR="009C0CCE">
        <w:t>GT, des réunions spécifiques et des contributions écrites</w:t>
      </w:r>
      <w:r w:rsidR="00550483">
        <w:t> ; ces échanges</w:t>
      </w:r>
      <w:r w:rsidR="009C0CCE">
        <w:t xml:space="preserve"> </w:t>
      </w:r>
      <w:r w:rsidR="004E2186">
        <w:t>ont</w:t>
      </w:r>
      <w:r w:rsidR="00CA6A2C">
        <w:t xml:space="preserve"> largement contribué à </w:t>
      </w:r>
      <w:r w:rsidR="009C0CCE">
        <w:t>construire un</w:t>
      </w:r>
      <w:r w:rsidR="00CA6A2C">
        <w:t xml:space="preserve"> </w:t>
      </w:r>
      <w:r w:rsidR="00865AA7">
        <w:t>Clausier CPE FNCCR</w:t>
      </w:r>
      <w:r w:rsidR="00CA6A2C">
        <w:t xml:space="preserve"> </w:t>
      </w:r>
      <w:r w:rsidR="004E2186">
        <w:t>adapté aux enjeux de terrain</w:t>
      </w:r>
      <w:r w:rsidR="009C0CCE">
        <w:t xml:space="preserve"> tant du niveau des </w:t>
      </w:r>
      <w:r w:rsidR="009C0CCE">
        <w:lastRenderedPageBreak/>
        <w:t>collectivités territoriales que des opérateurs privés</w:t>
      </w:r>
      <w:r w:rsidR="004E2186">
        <w:t>.</w:t>
      </w:r>
      <w:r w:rsidR="00FC2A13">
        <w:t xml:space="preserve"> </w:t>
      </w:r>
      <w:r w:rsidR="00D93540">
        <w:t xml:space="preserve">En outre, </w:t>
      </w:r>
      <w:r w:rsidR="00FC2A13">
        <w:t>il convient de rappeler que l</w:t>
      </w:r>
      <w:r w:rsidR="00D93540">
        <w:t xml:space="preserve">a démarche </w:t>
      </w:r>
      <w:r w:rsidR="00FC2A13">
        <w:t xml:space="preserve">initiée par ce groupe de travail intervient </w:t>
      </w:r>
      <w:r w:rsidR="008D47D1">
        <w:t>concomitamment aux</w:t>
      </w:r>
      <w:r w:rsidR="00FC2A13">
        <w:t xml:space="preserve"> travaux de refonte des différents CCAG portés par la Direction des Affaires Juridiques de Bercy.</w:t>
      </w:r>
    </w:p>
    <w:p w14:paraId="2C78FB78" w14:textId="248D80EA" w:rsidR="00703C79" w:rsidRPr="007A473F" w:rsidRDefault="00703C79" w:rsidP="00AA6146">
      <w:pPr>
        <w:pStyle w:val="Titre1"/>
        <w:spacing w:line="240" w:lineRule="auto"/>
      </w:pPr>
      <w:r w:rsidRPr="008B571E">
        <w:fldChar w:fldCharType="begin"/>
      </w:r>
      <w:r w:rsidRPr="008B571E">
        <w:instrText xml:space="preserve"> AUTONUMLGL </w:instrText>
      </w:r>
      <w:bookmarkStart w:id="2" w:name="_Toc112748987"/>
      <w:r w:rsidRPr="008B571E">
        <w:fldChar w:fldCharType="end"/>
      </w:r>
      <w:r w:rsidRPr="008B571E">
        <w:t xml:space="preserve"> </w:t>
      </w:r>
      <w:r>
        <w:t>C</w:t>
      </w:r>
      <w:r w:rsidRPr="00F45D59">
        <w:t xml:space="preserve">hamp d’application du </w:t>
      </w:r>
      <w:r>
        <w:t>C</w:t>
      </w:r>
      <w:r w:rsidRPr="00F45D59">
        <w:t>lausier</w:t>
      </w:r>
      <w:r w:rsidR="00865AA7">
        <w:t xml:space="preserve"> CPE FNCCR</w:t>
      </w:r>
      <w:bookmarkEnd w:id="2"/>
    </w:p>
    <w:p w14:paraId="3853F91F" w14:textId="77777777" w:rsidR="00703C79" w:rsidRPr="0021173A" w:rsidRDefault="00703C79" w:rsidP="00AA6146">
      <w:pPr>
        <w:pStyle w:val="Titre2"/>
        <w:spacing w:line="240" w:lineRule="auto"/>
      </w:pPr>
      <w:r w:rsidRPr="00036316">
        <w:fldChar w:fldCharType="begin"/>
      </w:r>
      <w:r w:rsidRPr="00036316">
        <w:instrText xml:space="preserve"> AUTONUMLGL </w:instrText>
      </w:r>
      <w:bookmarkStart w:id="3" w:name="_Toc112748988"/>
      <w:r w:rsidRPr="00036316">
        <w:fldChar w:fldCharType="end"/>
      </w:r>
      <w:r w:rsidRPr="0021173A">
        <w:t xml:space="preserve"> Les </w:t>
      </w:r>
      <w:r>
        <w:t>acheteurs publics : les personnes morales de droit public de niveau territorial</w:t>
      </w:r>
      <w:bookmarkEnd w:id="3"/>
    </w:p>
    <w:p w14:paraId="0888F288" w14:textId="4BF2B03A" w:rsidR="00703C79" w:rsidRDefault="00703C79" w:rsidP="00AA6146">
      <w:pPr>
        <w:spacing w:line="240" w:lineRule="auto"/>
        <w:jc w:val="both"/>
      </w:pPr>
      <w:r>
        <w:t xml:space="preserve">Le </w:t>
      </w:r>
      <w:r w:rsidR="00865AA7">
        <w:t>Clausier CPE FNCCR</w:t>
      </w:r>
      <w:r>
        <w:t xml:space="preserve"> s’adresse aux acheteurs publics ayant la nature de personnes morales de droit public au sens des articles L.1210-1 et suivants du Code de la commande publique, de niveau territorial :</w:t>
      </w:r>
    </w:p>
    <w:p w14:paraId="08CCFDD6" w14:textId="77777777" w:rsidR="00703C79" w:rsidRDefault="00703C79" w:rsidP="00AA6146">
      <w:pPr>
        <w:pStyle w:val="Paragraphedeliste"/>
        <w:numPr>
          <w:ilvl w:val="0"/>
          <w:numId w:val="8"/>
        </w:numPr>
        <w:spacing w:line="240" w:lineRule="auto"/>
        <w:contextualSpacing w:val="0"/>
        <w:jc w:val="both"/>
      </w:pPr>
      <w:r>
        <w:t xml:space="preserve">Les collectivités territoriales, </w:t>
      </w:r>
    </w:p>
    <w:p w14:paraId="3B32B796" w14:textId="385F9104" w:rsidR="00703C79" w:rsidRDefault="00703C79" w:rsidP="00AA6146">
      <w:pPr>
        <w:pStyle w:val="Paragraphedeliste"/>
        <w:numPr>
          <w:ilvl w:val="0"/>
          <w:numId w:val="8"/>
        </w:numPr>
        <w:spacing w:line="240" w:lineRule="auto"/>
        <w:contextualSpacing w:val="0"/>
        <w:jc w:val="both"/>
      </w:pPr>
      <w:r>
        <w:t>Les établissements publics locaux</w:t>
      </w:r>
      <w:r w:rsidR="00865AA7">
        <w:t>,</w:t>
      </w:r>
    </w:p>
    <w:p w14:paraId="23B9BBDA" w14:textId="454B082A" w:rsidR="00703C79" w:rsidRDefault="00703C79" w:rsidP="00AA6146">
      <w:pPr>
        <w:pStyle w:val="Paragraphedeliste"/>
        <w:numPr>
          <w:ilvl w:val="0"/>
          <w:numId w:val="8"/>
        </w:numPr>
        <w:spacing w:line="240" w:lineRule="auto"/>
        <w:contextualSpacing w:val="0"/>
        <w:jc w:val="both"/>
      </w:pPr>
      <w:r>
        <w:t>Les établissements publics de coopération intercommunales (EPCI) et les groupements de collectivités territoriales</w:t>
      </w:r>
      <w:r w:rsidR="00865AA7">
        <w:t>,</w:t>
      </w:r>
    </w:p>
    <w:p w14:paraId="2768632D" w14:textId="6A85188F" w:rsidR="00703C79" w:rsidRDefault="00703C79" w:rsidP="00AA6146">
      <w:pPr>
        <w:pStyle w:val="Paragraphedeliste"/>
        <w:numPr>
          <w:ilvl w:val="0"/>
          <w:numId w:val="8"/>
        </w:numPr>
        <w:spacing w:line="240" w:lineRule="auto"/>
        <w:contextualSpacing w:val="0"/>
        <w:jc w:val="both"/>
      </w:pPr>
      <w:r>
        <w:t>Les mandataires des acteurs précités.</w:t>
      </w:r>
    </w:p>
    <w:p w14:paraId="6AB18C0A" w14:textId="0F0C15F8" w:rsidR="00703C79" w:rsidRPr="00F97785" w:rsidRDefault="00703C79" w:rsidP="00AA6146">
      <w:pPr>
        <w:spacing w:line="240" w:lineRule="auto"/>
        <w:jc w:val="both"/>
        <w:rPr>
          <w:b/>
          <w:bCs/>
        </w:rPr>
      </w:pPr>
      <w:r w:rsidRPr="00F97785">
        <w:rPr>
          <w:rFonts w:cstheme="minorHAnsi"/>
        </w:rPr>
        <w:t xml:space="preserve">L’acheteur public pour le compte duquel les </w:t>
      </w:r>
      <w:r w:rsidRPr="00F97785">
        <w:rPr>
          <w:rFonts w:eastAsia="Calibri" w:cstheme="minorHAnsi"/>
        </w:rPr>
        <w:t>Actions</w:t>
      </w:r>
      <w:r w:rsidRPr="00F97785">
        <w:rPr>
          <w:rFonts w:cstheme="minorHAnsi"/>
        </w:rPr>
        <w:t xml:space="preserve"> de Rénovation</w:t>
      </w:r>
      <w:r w:rsidR="00865AA7">
        <w:rPr>
          <w:rStyle w:val="Appelnotedebasdep"/>
          <w:rFonts w:cstheme="minorHAnsi"/>
        </w:rPr>
        <w:footnoteReference w:id="3"/>
      </w:r>
      <w:r w:rsidRPr="00F97785">
        <w:rPr>
          <w:rFonts w:cstheme="minorHAnsi"/>
        </w:rPr>
        <w:t xml:space="preserve"> </w:t>
      </w:r>
      <w:r>
        <w:rPr>
          <w:rFonts w:cstheme="minorHAnsi"/>
        </w:rPr>
        <w:t xml:space="preserve">et </w:t>
      </w:r>
      <w:r>
        <w:rPr>
          <w:rFonts w:cstheme="minorHAnsi"/>
          <w:color w:val="000000" w:themeColor="text1"/>
        </w:rPr>
        <w:t>le Bouquet d’Amélioration de la Performance</w:t>
      </w:r>
      <w:r w:rsidRPr="00752760">
        <w:rPr>
          <w:rFonts w:cstheme="minorHAnsi"/>
          <w:color w:val="000000" w:themeColor="text1"/>
        </w:rPr>
        <w:t xml:space="preserve"> </w:t>
      </w:r>
      <w:r w:rsidRPr="00F97785">
        <w:rPr>
          <w:rFonts w:cstheme="minorHAnsi"/>
        </w:rPr>
        <w:t>sont exécutés, dans le cadre d’un MPGP, est qualifié de Maître d’ouvrage.</w:t>
      </w:r>
    </w:p>
    <w:p w14:paraId="38563B8B" w14:textId="2A69F200" w:rsidR="00703C79" w:rsidRPr="007E0A37" w:rsidRDefault="00703C79" w:rsidP="00AA6146">
      <w:pPr>
        <w:spacing w:line="240" w:lineRule="auto"/>
        <w:ind w:left="708"/>
        <w:jc w:val="both"/>
        <w:rPr>
          <w:b/>
          <w:bCs/>
          <w:i/>
          <w:iCs/>
        </w:rPr>
      </w:pPr>
      <w:r w:rsidRPr="007E0A37">
        <w:rPr>
          <w:i/>
          <w:iCs/>
        </w:rPr>
        <w:t xml:space="preserve">NB : </w:t>
      </w:r>
      <w:r w:rsidR="00865AA7" w:rsidRPr="007E0A37">
        <w:rPr>
          <w:i/>
          <w:iCs/>
        </w:rPr>
        <w:t>1) L</w:t>
      </w:r>
      <w:r w:rsidRPr="00E56AC9">
        <w:rPr>
          <w:i/>
          <w:iCs/>
        </w:rPr>
        <w:t xml:space="preserve">e </w:t>
      </w:r>
      <w:r w:rsidR="00865AA7" w:rsidRPr="000F5798">
        <w:rPr>
          <w:i/>
          <w:iCs/>
        </w:rPr>
        <w:t>Clausier CPE FNCCR</w:t>
      </w:r>
      <w:r w:rsidRPr="000F5798">
        <w:rPr>
          <w:i/>
          <w:iCs/>
        </w:rPr>
        <w:t xml:space="preserve"> </w:t>
      </w:r>
      <w:r w:rsidR="00B7708B">
        <w:rPr>
          <w:i/>
          <w:iCs/>
        </w:rPr>
        <w:t>n’a pas été conçu pour les</w:t>
      </w:r>
      <w:r w:rsidRPr="000F5798">
        <w:rPr>
          <w:i/>
          <w:iCs/>
        </w:rPr>
        <w:t xml:space="preserve"> acheteurs personnes morales de droit privé (</w:t>
      </w:r>
      <w:r w:rsidR="00865AA7" w:rsidRPr="007E0A37">
        <w:rPr>
          <w:rFonts w:eastAsia="Times" w:cstheme="minorHAnsi"/>
          <w:i/>
          <w:iCs/>
          <w:color w:val="000000" w:themeColor="text1"/>
        </w:rPr>
        <w:t>o</w:t>
      </w:r>
      <w:r w:rsidRPr="007E0A37">
        <w:rPr>
          <w:rFonts w:eastAsia="Times" w:cstheme="minorHAnsi"/>
          <w:i/>
          <w:iCs/>
          <w:color w:val="000000" w:themeColor="text1"/>
        </w:rPr>
        <w:t>rganismes privés d'habitations à loyer modéré</w:t>
      </w:r>
      <w:r w:rsidR="00865AA7" w:rsidRPr="007E0A37">
        <w:rPr>
          <w:rFonts w:eastAsia="Times" w:cstheme="minorHAnsi"/>
          <w:i/>
          <w:iCs/>
          <w:color w:val="000000" w:themeColor="text1"/>
        </w:rPr>
        <w:t xml:space="preserve"> ou</w:t>
      </w:r>
      <w:r w:rsidRPr="007E0A37">
        <w:rPr>
          <w:rFonts w:eastAsia="Times" w:cstheme="minorHAnsi"/>
          <w:i/>
          <w:iCs/>
          <w:color w:val="000000" w:themeColor="text1"/>
        </w:rPr>
        <w:t xml:space="preserve"> association</w:t>
      </w:r>
      <w:r w:rsidR="00865AA7" w:rsidRPr="007E0A37">
        <w:rPr>
          <w:rFonts w:eastAsia="Times" w:cstheme="minorHAnsi"/>
          <w:i/>
          <w:iCs/>
          <w:color w:val="000000" w:themeColor="text1"/>
        </w:rPr>
        <w:t>s</w:t>
      </w:r>
      <w:r w:rsidRPr="007E0A37">
        <w:rPr>
          <w:rFonts w:eastAsia="Times" w:cstheme="minorHAnsi"/>
          <w:i/>
          <w:iCs/>
          <w:color w:val="000000" w:themeColor="text1"/>
        </w:rPr>
        <w:t xml:space="preserve"> par exemple). </w:t>
      </w:r>
    </w:p>
    <w:p w14:paraId="5F370A27" w14:textId="417F14FD" w:rsidR="00703C79" w:rsidRPr="00036316" w:rsidRDefault="00865AA7" w:rsidP="00AA6146">
      <w:pPr>
        <w:spacing w:line="240" w:lineRule="auto"/>
        <w:ind w:left="708"/>
        <w:jc w:val="both"/>
        <w:rPr>
          <w:b/>
          <w:bCs/>
          <w:i/>
          <w:iCs/>
        </w:rPr>
      </w:pPr>
      <w:r w:rsidRPr="000F5798">
        <w:rPr>
          <w:i/>
          <w:iCs/>
        </w:rPr>
        <w:t>2) L</w:t>
      </w:r>
      <w:r w:rsidR="00703C79" w:rsidRPr="000F5798">
        <w:rPr>
          <w:i/>
          <w:iCs/>
        </w:rPr>
        <w:t xml:space="preserve">e </w:t>
      </w:r>
      <w:r w:rsidRPr="000F5798">
        <w:rPr>
          <w:i/>
          <w:iCs/>
        </w:rPr>
        <w:t>Clausier CPE FNCCR</w:t>
      </w:r>
      <w:r w:rsidR="00703C79" w:rsidRPr="000F5798">
        <w:rPr>
          <w:i/>
          <w:iCs/>
        </w:rPr>
        <w:t xml:space="preserve"> n</w:t>
      </w:r>
      <w:r w:rsidR="000F5798">
        <w:rPr>
          <w:i/>
          <w:iCs/>
        </w:rPr>
        <w:t>’a pas été conçu pour les</w:t>
      </w:r>
      <w:r w:rsidR="00703C79" w:rsidRPr="000F5798">
        <w:rPr>
          <w:i/>
          <w:iCs/>
        </w:rPr>
        <w:t xml:space="preserve"> acheteurs publics de niveau national (</w:t>
      </w:r>
      <w:r w:rsidR="000F5798" w:rsidRPr="000F5798">
        <w:rPr>
          <w:i/>
          <w:iCs/>
        </w:rPr>
        <w:t>État</w:t>
      </w:r>
      <w:r w:rsidR="00703C79" w:rsidRPr="000F5798">
        <w:rPr>
          <w:i/>
          <w:iCs/>
        </w:rPr>
        <w:t>, établissements publics nationaux).</w:t>
      </w:r>
    </w:p>
    <w:p w14:paraId="5D8D5F05" w14:textId="3D75A08C" w:rsidR="00703C79" w:rsidRPr="00B90556" w:rsidRDefault="00703C79" w:rsidP="00AA6146">
      <w:pPr>
        <w:pStyle w:val="Titre2"/>
        <w:spacing w:line="240" w:lineRule="auto"/>
      </w:pPr>
      <w:r w:rsidRPr="005427D9">
        <w:fldChar w:fldCharType="begin"/>
      </w:r>
      <w:r w:rsidRPr="005427D9">
        <w:instrText xml:space="preserve"> AUTONUMLGL </w:instrText>
      </w:r>
      <w:bookmarkStart w:id="4" w:name="_Toc112748989"/>
      <w:r w:rsidRPr="005427D9">
        <w:fldChar w:fldCharType="end"/>
      </w:r>
      <w:r w:rsidRPr="0021173A">
        <w:t xml:space="preserve"> La nature des opérations</w:t>
      </w:r>
      <w:r>
        <w:t xml:space="preserve"> : la </w:t>
      </w:r>
      <w:r w:rsidR="005B5B18">
        <w:t xml:space="preserve">rénovation </w:t>
      </w:r>
      <w:r w:rsidR="00B7708B">
        <w:t>énergétique</w:t>
      </w:r>
      <w:r>
        <w:t xml:space="preserve"> de</w:t>
      </w:r>
      <w:r w:rsidR="00E66EE3">
        <w:t>s</w:t>
      </w:r>
      <w:r>
        <w:t xml:space="preserve"> Bâtiments</w:t>
      </w:r>
      <w:r w:rsidR="00E66EE3">
        <w:t xml:space="preserve"> et leurs Installations Technique</w:t>
      </w:r>
      <w:r w:rsidR="005B5B18">
        <w:t>s</w:t>
      </w:r>
      <w:r w:rsidR="00E66EE3">
        <w:t>, dans le cadre d’un CPE</w:t>
      </w:r>
      <w:bookmarkEnd w:id="4"/>
    </w:p>
    <w:p w14:paraId="13832F64" w14:textId="069BA4C8" w:rsidR="00703C79" w:rsidRPr="00865AA7" w:rsidRDefault="00E66EE3" w:rsidP="00AA6146">
      <w:pPr>
        <w:pStyle w:val="Grillemoyenne1-Accent21"/>
        <w:spacing w:line="240" w:lineRule="auto"/>
        <w:ind w:left="0" w:right="161"/>
        <w:rPr>
          <w:rFonts w:asciiTheme="minorHAnsi" w:eastAsia="Calibri" w:hAnsiTheme="minorHAnsi" w:cstheme="minorHAnsi"/>
          <w:lang w:eastAsia="en-US"/>
        </w:rPr>
      </w:pPr>
      <w:r>
        <w:t>Le Clausier CPE FNCCR est</w:t>
      </w:r>
      <w:r w:rsidR="00703C79" w:rsidRPr="00865AA7">
        <w:rPr>
          <w:rFonts w:asciiTheme="minorHAnsi" w:eastAsia="Calibri" w:hAnsiTheme="minorHAnsi" w:cstheme="minorHAnsi"/>
          <w:lang w:eastAsia="en-US"/>
        </w:rPr>
        <w:t xml:space="preserve"> applicable </w:t>
      </w:r>
      <w:r w:rsidR="00865AA7" w:rsidRPr="00865AA7">
        <w:rPr>
          <w:rFonts w:asciiTheme="minorHAnsi" w:eastAsia="Calibri" w:hAnsiTheme="minorHAnsi" w:cstheme="minorHAnsi"/>
          <w:lang w:eastAsia="en-US"/>
        </w:rPr>
        <w:t>aux</w:t>
      </w:r>
      <w:r w:rsidR="00703C79" w:rsidRPr="00865AA7">
        <w:rPr>
          <w:rFonts w:asciiTheme="minorHAnsi" w:eastAsia="Calibri" w:hAnsiTheme="minorHAnsi" w:cstheme="minorHAnsi"/>
          <w:lang w:eastAsia="en-US"/>
        </w:rPr>
        <w:t xml:space="preserve"> CPE</w:t>
      </w:r>
      <w:r>
        <w:rPr>
          <w:rFonts w:asciiTheme="minorHAnsi" w:eastAsia="Calibri" w:hAnsiTheme="minorHAnsi" w:cstheme="minorHAnsi"/>
          <w:lang w:eastAsia="en-US"/>
        </w:rPr>
        <w:t xml:space="preserve">, </w:t>
      </w:r>
      <w:r w:rsidR="00703C79" w:rsidRPr="00865AA7">
        <w:rPr>
          <w:rFonts w:asciiTheme="minorHAnsi" w:eastAsia="Calibri" w:hAnsiTheme="minorHAnsi" w:cstheme="minorHAnsi"/>
          <w:lang w:eastAsia="en-US"/>
        </w:rPr>
        <w:t xml:space="preserve">pour les projets et opérations de </w:t>
      </w:r>
      <w:r w:rsidR="005B5B18" w:rsidRPr="00865AA7">
        <w:rPr>
          <w:rFonts w:asciiTheme="minorHAnsi" w:eastAsia="Calibri" w:hAnsiTheme="minorHAnsi" w:cstheme="minorHAnsi"/>
          <w:lang w:eastAsia="en-US"/>
        </w:rPr>
        <w:t>ré</w:t>
      </w:r>
      <w:r w:rsidR="005B5B18">
        <w:rPr>
          <w:rFonts w:asciiTheme="minorHAnsi" w:eastAsia="Calibri" w:hAnsiTheme="minorHAnsi" w:cstheme="minorHAnsi"/>
          <w:lang w:eastAsia="en-US"/>
        </w:rPr>
        <w:t>novation</w:t>
      </w:r>
      <w:r w:rsidR="005B5B18" w:rsidRPr="00865AA7">
        <w:rPr>
          <w:rFonts w:asciiTheme="minorHAnsi" w:eastAsia="Calibri" w:hAnsiTheme="minorHAnsi" w:cstheme="minorHAnsi"/>
          <w:lang w:eastAsia="en-US"/>
        </w:rPr>
        <w:t xml:space="preserve"> </w:t>
      </w:r>
      <w:r>
        <w:rPr>
          <w:rFonts w:asciiTheme="minorHAnsi" w:eastAsia="Calibri" w:hAnsiTheme="minorHAnsi" w:cstheme="minorHAnsi"/>
          <w:lang w:eastAsia="en-US"/>
        </w:rPr>
        <w:t xml:space="preserve">énergétique </w:t>
      </w:r>
      <w:r w:rsidR="00703C79" w:rsidRPr="00865AA7">
        <w:rPr>
          <w:rFonts w:asciiTheme="minorHAnsi" w:eastAsia="Calibri" w:hAnsiTheme="minorHAnsi" w:cstheme="minorHAnsi"/>
          <w:lang w:eastAsia="en-US"/>
        </w:rPr>
        <w:t>de</w:t>
      </w:r>
      <w:r>
        <w:rPr>
          <w:rFonts w:asciiTheme="minorHAnsi" w:eastAsia="Calibri" w:hAnsiTheme="minorHAnsi" w:cstheme="minorHAnsi"/>
          <w:lang w:eastAsia="en-US"/>
        </w:rPr>
        <w:t>s</w:t>
      </w:r>
      <w:r w:rsidR="00703C79" w:rsidRPr="00865AA7">
        <w:rPr>
          <w:rFonts w:asciiTheme="minorHAnsi" w:eastAsia="Calibri" w:hAnsiTheme="minorHAnsi" w:cstheme="minorHAnsi"/>
          <w:lang w:eastAsia="en-US"/>
        </w:rPr>
        <w:t xml:space="preserve"> Bâtiments</w:t>
      </w:r>
      <w:r w:rsidR="0022513D">
        <w:rPr>
          <w:rFonts w:asciiTheme="minorHAnsi" w:eastAsia="Calibri" w:hAnsiTheme="minorHAnsi" w:cstheme="minorHAnsi"/>
          <w:lang w:eastAsia="en-US"/>
        </w:rPr>
        <w:t xml:space="preserve"> et de </w:t>
      </w:r>
      <w:r>
        <w:rPr>
          <w:rFonts w:asciiTheme="minorHAnsi" w:eastAsia="Calibri" w:hAnsiTheme="minorHAnsi" w:cstheme="minorHAnsi"/>
          <w:lang w:eastAsia="en-US"/>
        </w:rPr>
        <w:t>leurs Installations T</w:t>
      </w:r>
      <w:r w:rsidR="0022513D">
        <w:rPr>
          <w:rFonts w:asciiTheme="minorHAnsi" w:eastAsia="Calibri" w:hAnsiTheme="minorHAnsi" w:cstheme="minorHAnsi"/>
          <w:lang w:eastAsia="en-US"/>
        </w:rPr>
        <w:t>echniques</w:t>
      </w:r>
      <w:r>
        <w:rPr>
          <w:rFonts w:asciiTheme="minorHAnsi" w:eastAsia="Calibri" w:hAnsiTheme="minorHAnsi" w:cstheme="minorHAnsi"/>
          <w:lang w:eastAsia="en-US"/>
        </w:rPr>
        <w:t>.</w:t>
      </w:r>
    </w:p>
    <w:p w14:paraId="53324170" w14:textId="579C1ED9" w:rsidR="00865AA7" w:rsidRDefault="00703C79" w:rsidP="00AA6146">
      <w:pPr>
        <w:spacing w:line="240" w:lineRule="auto"/>
        <w:ind w:left="708"/>
        <w:jc w:val="both"/>
        <w:rPr>
          <w:i/>
          <w:iCs/>
        </w:rPr>
      </w:pPr>
      <w:r w:rsidRPr="00ED03B6">
        <w:rPr>
          <w:rFonts w:cstheme="minorHAnsi"/>
          <w:bCs/>
          <w:i/>
          <w:iCs/>
        </w:rPr>
        <w:t xml:space="preserve">NB : </w:t>
      </w:r>
      <w:r w:rsidR="00865AA7">
        <w:rPr>
          <w:rFonts w:cstheme="minorHAnsi"/>
          <w:bCs/>
          <w:i/>
          <w:iCs/>
        </w:rPr>
        <w:t xml:space="preserve">1) </w:t>
      </w:r>
      <w:r w:rsidRPr="00ED03B6">
        <w:rPr>
          <w:i/>
          <w:iCs/>
        </w:rPr>
        <w:t xml:space="preserve">Le </w:t>
      </w:r>
      <w:r w:rsidR="00865AA7">
        <w:rPr>
          <w:i/>
          <w:iCs/>
        </w:rPr>
        <w:t>Clausier CPE FNCCR</w:t>
      </w:r>
      <w:r>
        <w:rPr>
          <w:i/>
          <w:iCs/>
        </w:rPr>
        <w:t xml:space="preserve"> </w:t>
      </w:r>
      <w:r w:rsidRPr="00ED03B6">
        <w:rPr>
          <w:i/>
          <w:iCs/>
        </w:rPr>
        <w:t>pourra être appliqué aux secteurs de la santé en intégrant les spécificités afférentes dans le CCAP.</w:t>
      </w:r>
    </w:p>
    <w:p w14:paraId="70F89E1A" w14:textId="08203BA0" w:rsidR="00703C79" w:rsidRDefault="00865AA7" w:rsidP="00AA6146">
      <w:pPr>
        <w:spacing w:line="240" w:lineRule="auto"/>
        <w:ind w:left="708"/>
        <w:jc w:val="both"/>
        <w:rPr>
          <w:i/>
          <w:iCs/>
        </w:rPr>
      </w:pPr>
      <w:r>
        <w:rPr>
          <w:i/>
          <w:iCs/>
        </w:rPr>
        <w:t>2) Le</w:t>
      </w:r>
      <w:r w:rsidR="00703C79" w:rsidRPr="00ED03B6">
        <w:rPr>
          <w:i/>
          <w:iCs/>
        </w:rPr>
        <w:t xml:space="preserve"> </w:t>
      </w:r>
      <w:r>
        <w:rPr>
          <w:i/>
          <w:iCs/>
        </w:rPr>
        <w:t>Clausier CPE FNCCR</w:t>
      </w:r>
      <w:r w:rsidR="00703C79">
        <w:rPr>
          <w:i/>
          <w:iCs/>
        </w:rPr>
        <w:t xml:space="preserve"> n’est pas applicable aux CPE en matière d’infrastructures et notamment d’</w:t>
      </w:r>
      <w:r w:rsidR="00703C79" w:rsidRPr="00962F19">
        <w:rPr>
          <w:i/>
          <w:iCs/>
        </w:rPr>
        <w:t>éclairage public</w:t>
      </w:r>
      <w:r w:rsidR="00703C79">
        <w:rPr>
          <w:i/>
          <w:iCs/>
        </w:rPr>
        <w:t>, qui réponde à une logique contractuelle substantielle différente</w:t>
      </w:r>
      <w:r w:rsidR="00703C79" w:rsidRPr="00962F19">
        <w:rPr>
          <w:i/>
          <w:iCs/>
        </w:rPr>
        <w:t>.</w:t>
      </w:r>
    </w:p>
    <w:p w14:paraId="0CD63326" w14:textId="7CE569FE" w:rsidR="00703C79" w:rsidRPr="003A0466" w:rsidRDefault="00865AA7" w:rsidP="00AA6146">
      <w:pPr>
        <w:spacing w:line="240" w:lineRule="auto"/>
        <w:ind w:left="708"/>
        <w:jc w:val="both"/>
        <w:rPr>
          <w:rFonts w:cstheme="minorHAnsi"/>
          <w:bCs/>
          <w:i/>
          <w:iCs/>
        </w:rPr>
      </w:pPr>
      <w:r>
        <w:rPr>
          <w:rFonts w:cstheme="minorHAnsi"/>
          <w:bCs/>
          <w:i/>
          <w:iCs/>
        </w:rPr>
        <w:t xml:space="preserve">3) </w:t>
      </w:r>
      <w:r w:rsidR="00703C79" w:rsidRPr="003A0466">
        <w:rPr>
          <w:rFonts w:cstheme="minorHAnsi"/>
          <w:bCs/>
          <w:i/>
          <w:iCs/>
        </w:rPr>
        <w:t>Les besoins et la stratégie patrimoniale du Maître d’Ouvrage conduiront souvent à étendre le champ de la rénovation au-delà champ de la pu</w:t>
      </w:r>
      <w:r w:rsidR="00703C79" w:rsidRPr="00DB40EE">
        <w:rPr>
          <w:rFonts w:cstheme="minorHAnsi"/>
          <w:bCs/>
          <w:i/>
          <w:iCs/>
        </w:rPr>
        <w:t xml:space="preserve">re performance énergétique. </w:t>
      </w:r>
      <w:r w:rsidR="00703C79" w:rsidRPr="003A0466">
        <w:rPr>
          <w:rFonts w:cstheme="minorHAnsi"/>
          <w:i/>
          <w:iCs/>
          <w:color w:val="000000" w:themeColor="text1"/>
        </w:rPr>
        <w:t xml:space="preserve">Le Maître d’Ouvrage peut ainsi concevoir son Marché comme un projet immobilier d’ensemble et prévoir, à titre complémentaire et accessoire, des Actions de Rénovation plus classiques des Bâtiments qui s’avèreraient nécessaires : l’adaptation des locaux aux besoins, l’amélioration du confort des occupants, la mise aux normes (par exemple en termes d’accessibilité), le traitement de la vétusté, la construction d’extensions (par exemple en surélévation d’un Bâtiment), etc. En effet, l’intervention sur un Bâtiment peut conduire, pour des raisons opérationnelles et financières évidentes, un Maître d’Ouvrage à souhaiter une intervention unique pour procéder à la fois au </w:t>
      </w:r>
      <w:r w:rsidR="00703C79" w:rsidRPr="003A0466">
        <w:rPr>
          <w:rFonts w:eastAsia="Calibri" w:cstheme="minorHAnsi"/>
          <w:i/>
          <w:iCs/>
          <w:color w:val="000000" w:themeColor="text1"/>
        </w:rPr>
        <w:lastRenderedPageBreak/>
        <w:t>Bouquet</w:t>
      </w:r>
      <w:r w:rsidR="00703C79" w:rsidRPr="003A0466">
        <w:rPr>
          <w:rFonts w:cstheme="minorHAnsi"/>
          <w:i/>
          <w:iCs/>
          <w:color w:val="000000" w:themeColor="text1"/>
        </w:rPr>
        <w:t xml:space="preserve"> d’Amélioration de la Performance Énergétique et à la rénovation plus classique du Bâtiment qui en est l’objet lorsqu’elle est nécessaire. Cette logique est notamment destinée à minimiser la gêne résultant des chantiers à conduire en site occupé, ainsi qu’à mutualiser les coûts entre la rénovation énergétique et la rénovation classique.</w:t>
      </w:r>
    </w:p>
    <w:p w14:paraId="1074FB45" w14:textId="3F831607" w:rsidR="00703C79" w:rsidRPr="0052337A" w:rsidRDefault="00703C79" w:rsidP="00AA6146">
      <w:pPr>
        <w:pStyle w:val="Titre2"/>
        <w:spacing w:line="240" w:lineRule="auto"/>
      </w:pPr>
      <w:r w:rsidRPr="008B571E">
        <w:fldChar w:fldCharType="begin"/>
      </w:r>
      <w:r w:rsidRPr="008B571E">
        <w:instrText xml:space="preserve"> AUTONUMLGL </w:instrText>
      </w:r>
      <w:bookmarkStart w:id="5" w:name="_Toc112748990"/>
      <w:r w:rsidRPr="008B571E">
        <w:fldChar w:fldCharType="end"/>
      </w:r>
      <w:r>
        <w:t xml:space="preserve"> Le véhicule contractuel:</w:t>
      </w:r>
      <w:r w:rsidRPr="0052337A">
        <w:t xml:space="preserve"> le</w:t>
      </w:r>
      <w:r>
        <w:t xml:space="preserve"> </w:t>
      </w:r>
      <w:r w:rsidRPr="0052337A">
        <w:t>MPGP</w:t>
      </w:r>
      <w:bookmarkEnd w:id="5"/>
    </w:p>
    <w:p w14:paraId="72D83DF6" w14:textId="23DE48AC" w:rsidR="00703C79" w:rsidRDefault="00606E11" w:rsidP="00AA6146">
      <w:pPr>
        <w:spacing w:line="240" w:lineRule="auto"/>
        <w:jc w:val="both"/>
      </w:pPr>
      <w:r>
        <w:t>Différents</w:t>
      </w:r>
      <w:r w:rsidRPr="00B93DD1">
        <w:t xml:space="preserve"> </w:t>
      </w:r>
      <w:r w:rsidR="00703C79" w:rsidRPr="00B93DD1">
        <w:t xml:space="preserve">types de véhicules contractuels peuvent être utilisés pour mettre en œuvre un </w:t>
      </w:r>
      <w:r>
        <w:t>CPE</w:t>
      </w:r>
      <w:r w:rsidR="00703C79" w:rsidRPr="00B93DD1">
        <w:t>.</w:t>
      </w:r>
      <w:r w:rsidR="00703C79">
        <w:t xml:space="preserve"> Il peut </w:t>
      </w:r>
      <w:r>
        <w:t xml:space="preserve">notamment </w:t>
      </w:r>
      <w:r w:rsidR="00703C79">
        <w:t>s’agir d</w:t>
      </w:r>
      <w:r w:rsidR="00703C79" w:rsidRPr="00B93DD1">
        <w:t>’un marché public global de performance</w:t>
      </w:r>
      <w:r w:rsidR="00703C79">
        <w:t xml:space="preserve"> dit « MPGP »</w:t>
      </w:r>
      <w:r w:rsidR="00703C79" w:rsidRPr="00B93DD1">
        <w:t xml:space="preserve"> </w:t>
      </w:r>
      <w:r w:rsidR="00703C79">
        <w:t>(</w:t>
      </w:r>
      <w:r w:rsidR="00396FAA">
        <w:rPr>
          <w:rFonts w:eastAsia="Calibri"/>
        </w:rPr>
        <w:t>Art.</w:t>
      </w:r>
      <w:r w:rsidR="00703C79" w:rsidRPr="00A84FB2">
        <w:rPr>
          <w:rFonts w:eastAsia="Calibri"/>
        </w:rPr>
        <w:t xml:space="preserve"> L</w:t>
      </w:r>
      <w:r w:rsidR="00703C79">
        <w:rPr>
          <w:rFonts w:eastAsia="Calibri"/>
        </w:rPr>
        <w:t>.</w:t>
      </w:r>
      <w:r w:rsidR="00703C79" w:rsidRPr="00A84FB2">
        <w:rPr>
          <w:rFonts w:eastAsia="Calibri"/>
        </w:rPr>
        <w:t>2171-3</w:t>
      </w:r>
      <w:r w:rsidR="00703C79">
        <w:rPr>
          <w:rFonts w:eastAsia="Calibri"/>
        </w:rPr>
        <w:t xml:space="preserve"> du Code de la commande publique),</w:t>
      </w:r>
      <w:r w:rsidR="00703C79">
        <w:t xml:space="preserve"> </w:t>
      </w:r>
      <w:r>
        <w:t xml:space="preserve">ou </w:t>
      </w:r>
      <w:r w:rsidR="00703C79">
        <w:t>d</w:t>
      </w:r>
      <w:r w:rsidR="00703C79" w:rsidRPr="00B93DD1">
        <w:t>’un marché de partenariat</w:t>
      </w:r>
      <w:r w:rsidR="00703C79">
        <w:t xml:space="preserve"> (</w:t>
      </w:r>
      <w:r w:rsidR="00396FAA">
        <w:t>Art.</w:t>
      </w:r>
      <w:r w:rsidR="00703C79" w:rsidRPr="00213F66">
        <w:t xml:space="preserve"> L</w:t>
      </w:r>
      <w:r w:rsidR="00E712F1">
        <w:t>.</w:t>
      </w:r>
      <w:r w:rsidR="00703C79" w:rsidRPr="00213F66">
        <w:t>2211-1 à L</w:t>
      </w:r>
      <w:r w:rsidR="00E712F1">
        <w:t>.</w:t>
      </w:r>
      <w:r w:rsidR="00703C79" w:rsidRPr="00213F66">
        <w:t>2213-14</w:t>
      </w:r>
      <w:r w:rsidR="00703C79">
        <w:t xml:space="preserve"> </w:t>
      </w:r>
      <w:r w:rsidR="00A31905">
        <w:rPr>
          <w:rFonts w:eastAsia="Calibri"/>
        </w:rPr>
        <w:t>du Code de la commande publique</w:t>
      </w:r>
      <w:r w:rsidR="00703C79">
        <w:t>).</w:t>
      </w:r>
    </w:p>
    <w:p w14:paraId="6CCDF389" w14:textId="40EAEB45" w:rsidR="00703C79" w:rsidRPr="008549A7" w:rsidRDefault="008549A7" w:rsidP="00AA6146">
      <w:pPr>
        <w:spacing w:line="240" w:lineRule="auto"/>
        <w:ind w:left="708"/>
        <w:jc w:val="both"/>
        <w:rPr>
          <w:i/>
          <w:iCs/>
        </w:rPr>
      </w:pPr>
      <w:r w:rsidRPr="008549A7">
        <w:rPr>
          <w:i/>
          <w:iCs/>
        </w:rPr>
        <w:t xml:space="preserve">NB : </w:t>
      </w:r>
      <w:r w:rsidR="00703C79" w:rsidRPr="008549A7">
        <w:rPr>
          <w:i/>
          <w:iCs/>
        </w:rPr>
        <w:t xml:space="preserve">Les marchés de partenariat ne rentrent pas dans le cadre du présent </w:t>
      </w:r>
      <w:r w:rsidR="00865AA7" w:rsidRPr="008549A7">
        <w:rPr>
          <w:i/>
          <w:iCs/>
        </w:rPr>
        <w:t>Clausier CPE FNCCR</w:t>
      </w:r>
      <w:r w:rsidR="00703C79" w:rsidRPr="008549A7">
        <w:rPr>
          <w:i/>
          <w:iCs/>
        </w:rPr>
        <w:t xml:space="preserve">, lesquels </w:t>
      </w:r>
      <w:r w:rsidR="00865AA7" w:rsidRPr="008549A7">
        <w:rPr>
          <w:i/>
          <w:iCs/>
        </w:rPr>
        <w:t>ont déjà fait l’objet d’un modèle type</w:t>
      </w:r>
      <w:r w:rsidR="00703C79" w:rsidRPr="008549A7">
        <w:rPr>
          <w:i/>
          <w:iCs/>
        </w:rPr>
        <w:t>.</w:t>
      </w:r>
    </w:p>
    <w:p w14:paraId="3404C1A3" w14:textId="77777777" w:rsidR="00703C79" w:rsidRDefault="00703C79" w:rsidP="00AA6146">
      <w:pPr>
        <w:spacing w:line="240" w:lineRule="auto"/>
        <w:jc w:val="both"/>
        <w:rPr>
          <w:u w:val="single"/>
        </w:rPr>
      </w:pPr>
      <w:r w:rsidRPr="00946B1E">
        <w:rPr>
          <w:u w:val="single"/>
        </w:rPr>
        <w:t xml:space="preserve">L’ensemble des pièces produites par </w:t>
      </w:r>
      <w:r>
        <w:rPr>
          <w:u w:val="single"/>
        </w:rPr>
        <w:t>l</w:t>
      </w:r>
      <w:r w:rsidRPr="00946B1E">
        <w:rPr>
          <w:u w:val="single"/>
        </w:rPr>
        <w:t xml:space="preserve">e groupe de travail sont applicables dans le cadre d’un </w:t>
      </w:r>
      <w:r>
        <w:rPr>
          <w:u w:val="single"/>
        </w:rPr>
        <w:t xml:space="preserve">CPE conclu sous la forme d’un </w:t>
      </w:r>
      <w:r w:rsidRPr="00946B1E">
        <w:rPr>
          <w:u w:val="single"/>
        </w:rPr>
        <w:t>MPGP</w:t>
      </w:r>
      <w:r>
        <w:rPr>
          <w:u w:val="single"/>
        </w:rPr>
        <w:t>.</w:t>
      </w:r>
    </w:p>
    <w:p w14:paraId="35854F3A" w14:textId="77777777" w:rsidR="00703C79" w:rsidRDefault="00703C79" w:rsidP="00AA6146">
      <w:pPr>
        <w:spacing w:line="240" w:lineRule="auto"/>
        <w:jc w:val="both"/>
        <w:rPr>
          <w:rFonts w:eastAsia="Calibri"/>
        </w:rPr>
      </w:pPr>
      <w:r>
        <w:rPr>
          <w:rFonts w:eastAsia="Calibri"/>
        </w:rPr>
        <w:t>Un MPGP « </w:t>
      </w:r>
      <w:r w:rsidRPr="001955DD">
        <w:rPr>
          <w:rFonts w:eastAsia="Calibri"/>
          <w:i/>
          <w:iCs/>
        </w:rPr>
        <w:t>associe l'exploitation ou la maintenance à la réalisation ou à la conception-réalisation de prestations afin de remplir des objectifs chiffrés de performance. Ces objectifs sont définis notamment en termes de niveau d'activité, de qualité de service, d'efficacité énergétique ou d'incidence écologique. Le marché global de performance comporte des engagements de performance mesurables</w:t>
      </w:r>
      <w:r w:rsidRPr="001955DD">
        <w:rPr>
          <w:rFonts w:eastAsia="Calibri"/>
        </w:rPr>
        <w:t> ».</w:t>
      </w:r>
    </w:p>
    <w:p w14:paraId="563D22B6" w14:textId="4D23CAE7" w:rsidR="00703C79" w:rsidRPr="005C01D4" w:rsidRDefault="008549A7" w:rsidP="00AA6146">
      <w:pPr>
        <w:pStyle w:val="Titre3"/>
        <w:spacing w:line="240" w:lineRule="auto"/>
      </w:pPr>
      <w:r w:rsidRPr="008B571E">
        <w:fldChar w:fldCharType="begin"/>
      </w:r>
      <w:r w:rsidRPr="008B571E">
        <w:instrText xml:space="preserve"> AUTONUMLGL </w:instrText>
      </w:r>
      <w:bookmarkStart w:id="6" w:name="_Toc112748991"/>
      <w:r w:rsidRPr="008B571E">
        <w:fldChar w:fldCharType="end"/>
      </w:r>
      <w:r>
        <w:t xml:space="preserve"> </w:t>
      </w:r>
      <w:r w:rsidR="00703C79">
        <w:t>M</w:t>
      </w:r>
      <w:r w:rsidR="00703C79" w:rsidRPr="005C01D4">
        <w:t>ission globale</w:t>
      </w:r>
      <w:r w:rsidR="00703C79">
        <w:t xml:space="preserve"> du Titulaire</w:t>
      </w:r>
      <w:bookmarkEnd w:id="6"/>
    </w:p>
    <w:p w14:paraId="02697444" w14:textId="07C5EA29" w:rsidR="00703C79" w:rsidRPr="00D92E49" w:rsidRDefault="00703C79" w:rsidP="00AA6146">
      <w:pPr>
        <w:spacing w:line="240" w:lineRule="auto"/>
        <w:jc w:val="both"/>
        <w:rPr>
          <w:color w:val="000000" w:themeColor="text1"/>
        </w:rPr>
      </w:pPr>
      <w:r>
        <w:rPr>
          <w:color w:val="000000" w:themeColor="text1"/>
        </w:rPr>
        <w:t>Un</w:t>
      </w:r>
      <w:r w:rsidRPr="00D92E49">
        <w:rPr>
          <w:color w:val="000000" w:themeColor="text1"/>
        </w:rPr>
        <w:t xml:space="preserve"> MPGP permet de confier au </w:t>
      </w:r>
      <w:r>
        <w:rPr>
          <w:color w:val="000000" w:themeColor="text1"/>
        </w:rPr>
        <w:t>t</w:t>
      </w:r>
      <w:r w:rsidRPr="00D92E49">
        <w:rPr>
          <w:color w:val="000000" w:themeColor="text1"/>
        </w:rPr>
        <w:t xml:space="preserve">itulaire une mission globale </w:t>
      </w:r>
      <w:r w:rsidR="008549A7">
        <w:rPr>
          <w:color w:val="000000" w:themeColor="text1"/>
        </w:rPr>
        <w:t xml:space="preserve">comprenant </w:t>
      </w:r>
      <w:r w:rsidRPr="00D92E49">
        <w:rPr>
          <w:color w:val="000000" w:themeColor="text1"/>
        </w:rPr>
        <w:t>:</w:t>
      </w:r>
    </w:p>
    <w:p w14:paraId="229E0782" w14:textId="2196AC9A"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soit la réalisation, l’exploitation ou la maintenance des prestations ;</w:t>
      </w:r>
    </w:p>
    <w:p w14:paraId="2392BF8D" w14:textId="37156882"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soit la conception-réalisation, l’exploitation ou la maintenance des prestations.</w:t>
      </w:r>
    </w:p>
    <w:p w14:paraId="4FCB4CFA" w14:textId="4EB4EA1B" w:rsidR="00703C79" w:rsidRDefault="00703C79" w:rsidP="00AA6146">
      <w:pPr>
        <w:spacing w:line="240" w:lineRule="auto"/>
        <w:jc w:val="both"/>
        <w:rPr>
          <w:color w:val="000000" w:themeColor="text1"/>
        </w:rPr>
      </w:pPr>
      <w:r w:rsidRPr="00D92E49">
        <w:rPr>
          <w:color w:val="000000" w:themeColor="text1"/>
        </w:rPr>
        <w:t>Le choix entre conception indépendante ou intégrée dépend de la nécessité de maîtriser la conception pour s’engager sur des performances à atteindre.</w:t>
      </w:r>
    </w:p>
    <w:p w14:paraId="4554FAF8" w14:textId="5138B178" w:rsidR="00703C79" w:rsidRPr="00223644" w:rsidDel="00F81918" w:rsidRDefault="00703C79" w:rsidP="00AA6146">
      <w:pPr>
        <w:spacing w:line="240" w:lineRule="auto"/>
        <w:ind w:left="708"/>
        <w:jc w:val="both"/>
        <w:rPr>
          <w:i/>
          <w:iCs/>
        </w:rPr>
      </w:pPr>
      <w:r w:rsidRPr="00223644" w:rsidDel="00846C83">
        <w:rPr>
          <w:i/>
          <w:iCs/>
        </w:rPr>
        <w:t xml:space="preserve">NB : Pour les CPE qui ne nécessitent pas de maîtrise d’œuvre spécifique ou obligatoire, la conception/maîtrise d’œuvre peut être internalisée par l’entreprise de travaux ou l’exploitant. Par exemple, la mise en œuvre d’un CPE </w:t>
      </w:r>
      <w:r w:rsidR="008549A7">
        <w:rPr>
          <w:i/>
          <w:iCs/>
        </w:rPr>
        <w:t>S</w:t>
      </w:r>
      <w:r w:rsidRPr="00223644" w:rsidDel="00846C83">
        <w:rPr>
          <w:i/>
          <w:iCs/>
        </w:rPr>
        <w:t>ervice</w:t>
      </w:r>
      <w:r w:rsidR="008549A7">
        <w:rPr>
          <w:i/>
          <w:iCs/>
        </w:rPr>
        <w:t>s</w:t>
      </w:r>
      <w:r w:rsidR="008549A7">
        <w:rPr>
          <w:rStyle w:val="Appelnotedebasdep"/>
          <w:i/>
          <w:iCs/>
        </w:rPr>
        <w:footnoteReference w:id="4"/>
      </w:r>
      <w:r w:rsidRPr="00223644" w:rsidDel="00846C83">
        <w:rPr>
          <w:i/>
          <w:iCs/>
        </w:rPr>
        <w:t xml:space="preserve"> </w:t>
      </w:r>
      <w:r w:rsidR="008549A7">
        <w:rPr>
          <w:i/>
          <w:iCs/>
        </w:rPr>
        <w:t>ne suppose</w:t>
      </w:r>
      <w:r w:rsidRPr="00223644" w:rsidDel="00846C83">
        <w:rPr>
          <w:i/>
          <w:iCs/>
        </w:rPr>
        <w:t xml:space="preserve"> pas </w:t>
      </w:r>
      <w:r w:rsidR="008549A7">
        <w:rPr>
          <w:i/>
          <w:iCs/>
        </w:rPr>
        <w:t>d’</w:t>
      </w:r>
      <w:r w:rsidRPr="00223644" w:rsidDel="00846C83">
        <w:rPr>
          <w:i/>
          <w:iCs/>
        </w:rPr>
        <w:t>intégrer un architecte ou un bureau d’étude au sein du groupement titulaire.</w:t>
      </w:r>
    </w:p>
    <w:p w14:paraId="682CE85D" w14:textId="77777777" w:rsidR="00703C79" w:rsidRPr="00D92E49" w:rsidRDefault="00703C79" w:rsidP="00AA6146">
      <w:pPr>
        <w:spacing w:line="240" w:lineRule="auto"/>
        <w:jc w:val="both"/>
        <w:rPr>
          <w:color w:val="000000" w:themeColor="text1"/>
        </w:rPr>
      </w:pPr>
      <w:r w:rsidRPr="00D92E49">
        <w:rPr>
          <w:color w:val="000000" w:themeColor="text1"/>
        </w:rPr>
        <w:t>En toute hypothèse, les MPGP dérogent de plein droit au principe d’allotissement et dispensent l’acheteur public de faire la démonstration des motifs d’ordre technique, financier, organisationnel ou concurrentiel qui autorisent en principe le recours au marché global. Lorsqu’ils comportent des travaux entrant dans le champ de la loi n°85-704 du 12 juillet 1985 relative à la maîtrise d'ouvrage publique et à ses rapports avec la maîtrise d'œuvre privée (désormais codifiés au Code de la commande publique), les MPGP dérogent également au principe de dissociation des missions de maîtrise d’œuvre et d’entrepreneur.</w:t>
      </w:r>
    </w:p>
    <w:p w14:paraId="1DDB23AF" w14:textId="20F62168" w:rsidR="00703C79" w:rsidRPr="00D92E49" w:rsidRDefault="00703C79" w:rsidP="00AA6146">
      <w:pPr>
        <w:spacing w:line="240" w:lineRule="auto"/>
        <w:jc w:val="both"/>
        <w:rPr>
          <w:color w:val="000000" w:themeColor="text1"/>
        </w:rPr>
      </w:pPr>
      <w:r w:rsidRPr="00D92E49">
        <w:rPr>
          <w:color w:val="000000" w:themeColor="text1"/>
        </w:rPr>
        <w:t>En revanche, l’acheteur public demeure maître d’ouvrage et assume ainsi les obligations et responsabilités attachées à cette qualité.</w:t>
      </w:r>
    </w:p>
    <w:p w14:paraId="7AF4B9A0" w14:textId="398EABF4" w:rsidR="00703C79" w:rsidRDefault="00703C79" w:rsidP="00AA6146">
      <w:pPr>
        <w:spacing w:line="240" w:lineRule="auto"/>
        <w:jc w:val="both"/>
        <w:rPr>
          <w:color w:val="000000" w:themeColor="text1"/>
        </w:rPr>
      </w:pPr>
      <w:r w:rsidRPr="00D92E49">
        <w:rPr>
          <w:color w:val="000000" w:themeColor="text1"/>
        </w:rPr>
        <w:t xml:space="preserve">Enfin, les MPGP ne dérogent pas à la règle de l’interdiction du paiement différé ni à la règle de distinction de la rémunération des prestations de construction de celle des prestations d’exploitation ou de maintenance. Le paiement du titulaire est donc effectué par l’acheteur public sous forme </w:t>
      </w:r>
      <w:r w:rsidRPr="00D92E49">
        <w:rPr>
          <w:color w:val="000000" w:themeColor="text1"/>
        </w:rPr>
        <w:lastRenderedPageBreak/>
        <w:t>d’avance, d’acomptes, puis de solde, au fur et à mesure de l’avancement des travaux ou de la réalisation des prestations. En outre, la rémunération des prestations d’exploitation ou de maintenance doit être liée à l’atteinte des engagements de performance mesurables fixés par le contrat pour toute sa durée.</w:t>
      </w:r>
    </w:p>
    <w:p w14:paraId="19823327" w14:textId="5DD30D31" w:rsidR="00703C79" w:rsidRPr="005C01D4" w:rsidRDefault="008549A7" w:rsidP="00AA6146">
      <w:pPr>
        <w:pStyle w:val="Titre3"/>
        <w:spacing w:line="240" w:lineRule="auto"/>
      </w:pPr>
      <w:r w:rsidRPr="008B571E">
        <w:fldChar w:fldCharType="begin"/>
      </w:r>
      <w:r w:rsidRPr="008B571E">
        <w:instrText xml:space="preserve"> AUTONUMLGL </w:instrText>
      </w:r>
      <w:bookmarkStart w:id="7" w:name="_Toc112748992"/>
      <w:r w:rsidRPr="008B571E">
        <w:fldChar w:fldCharType="end"/>
      </w:r>
      <w:r>
        <w:t xml:space="preserve"> </w:t>
      </w:r>
      <w:r w:rsidR="00703C79">
        <w:t>O</w:t>
      </w:r>
      <w:r w:rsidR="00703C79" w:rsidRPr="005C01D4">
        <w:t>bjectifs d’un MPGP</w:t>
      </w:r>
      <w:bookmarkEnd w:id="7"/>
    </w:p>
    <w:p w14:paraId="32F114BE" w14:textId="2C9CF600" w:rsidR="00703C79" w:rsidRPr="00D92E49" w:rsidRDefault="00703C79" w:rsidP="00AA6146">
      <w:pPr>
        <w:pStyle w:val="Paragraphedeliste"/>
        <w:spacing w:line="240" w:lineRule="auto"/>
        <w:ind w:left="0"/>
        <w:contextualSpacing w:val="0"/>
        <w:jc w:val="both"/>
        <w:rPr>
          <w:rFonts w:cstheme="minorHAnsi"/>
          <w:color w:val="000000" w:themeColor="text1"/>
        </w:rPr>
      </w:pPr>
      <w:r w:rsidRPr="00D92E49">
        <w:rPr>
          <w:rFonts w:cstheme="minorHAnsi"/>
          <w:color w:val="000000" w:themeColor="text1"/>
        </w:rPr>
        <w:t xml:space="preserve">Le </w:t>
      </w:r>
      <w:r w:rsidR="00A31905">
        <w:rPr>
          <w:rFonts w:cstheme="minorHAnsi"/>
          <w:color w:val="000000" w:themeColor="text1"/>
        </w:rPr>
        <w:t>C</w:t>
      </w:r>
      <w:r w:rsidRPr="00D92E49">
        <w:rPr>
          <w:rFonts w:cstheme="minorHAnsi"/>
          <w:color w:val="000000" w:themeColor="text1"/>
        </w:rPr>
        <w:t xml:space="preserve">ode de la commande publique prévoit qu’un MPGP ne peut être conclu que pour </w:t>
      </w:r>
      <w:r w:rsidR="008549A7">
        <w:rPr>
          <w:rFonts w:cstheme="minorHAnsi"/>
          <w:color w:val="000000" w:themeColor="text1"/>
        </w:rPr>
        <w:t>atteindre des</w:t>
      </w:r>
      <w:r w:rsidRPr="00D92E49">
        <w:rPr>
          <w:rFonts w:cstheme="minorHAnsi"/>
          <w:color w:val="000000" w:themeColor="text1"/>
        </w:rPr>
        <w:t xml:space="preserve"> objectifs chiffrés de performance, définis notamment en termes de niveau d’activité, de qualité de service, d’efficacité énergétique ou d’incidence écologique, et sous réserve que le marché comporte à cet égard des engagements de performance mesurables.</w:t>
      </w:r>
    </w:p>
    <w:p w14:paraId="65B591FD" w14:textId="6BA91BB7" w:rsidR="00703C79" w:rsidRDefault="00703C79" w:rsidP="00AA6146">
      <w:pPr>
        <w:pStyle w:val="Paragraphedeliste"/>
        <w:spacing w:line="240" w:lineRule="auto"/>
        <w:ind w:left="0"/>
        <w:contextualSpacing w:val="0"/>
        <w:jc w:val="both"/>
        <w:rPr>
          <w:rFonts w:cstheme="minorHAnsi"/>
          <w:color w:val="000000" w:themeColor="text1"/>
        </w:rPr>
      </w:pPr>
      <w:r w:rsidRPr="00D92E49">
        <w:rPr>
          <w:rFonts w:cstheme="minorHAnsi"/>
          <w:color w:val="000000" w:themeColor="text1"/>
        </w:rPr>
        <w:t xml:space="preserve">La nature des objectifs qui justifient le recours à un MPGP est très large, </w:t>
      </w:r>
      <w:r w:rsidR="008549A7">
        <w:rPr>
          <w:rFonts w:cstheme="minorHAnsi"/>
          <w:color w:val="000000" w:themeColor="text1"/>
        </w:rPr>
        <w:t>des lors</w:t>
      </w:r>
      <w:r w:rsidRPr="00D92E49">
        <w:rPr>
          <w:rFonts w:cstheme="minorHAnsi"/>
          <w:color w:val="000000" w:themeColor="text1"/>
        </w:rPr>
        <w:t xml:space="preserve"> néanmoins qu’il s’agisse d’objectifs dont l’atteinte par le Titulaire nécessite de maîtriser à la fois les prestations de conception-réalisation et les prestations d’exploitation-maintenance. La définition des objectifs doit donc être mise en corrélation avec la nature globale du contrat.</w:t>
      </w:r>
    </w:p>
    <w:p w14:paraId="01AE965E" w14:textId="77777777" w:rsidR="00703C79" w:rsidRPr="00D92E49" w:rsidRDefault="00703C79" w:rsidP="00AA6146">
      <w:pPr>
        <w:pStyle w:val="Paragraphedeliste"/>
        <w:spacing w:line="240" w:lineRule="auto"/>
        <w:ind w:left="0"/>
        <w:contextualSpacing w:val="0"/>
        <w:jc w:val="both"/>
        <w:rPr>
          <w:rFonts w:cstheme="minorHAnsi"/>
          <w:color w:val="000000" w:themeColor="text1"/>
        </w:rPr>
      </w:pPr>
      <w:r w:rsidRPr="00D92E49">
        <w:rPr>
          <w:rFonts w:cstheme="minorHAnsi"/>
          <w:color w:val="000000" w:themeColor="text1"/>
        </w:rPr>
        <w:t>Par ailleurs, un MPGP peut intégrer à titre complémentaire et accessoire, comme tout marché public, des objectifs de performance non directement liés à sa nature globale.</w:t>
      </w:r>
    </w:p>
    <w:p w14:paraId="21CB4681" w14:textId="7AD92541" w:rsidR="00703C79" w:rsidRPr="00D92E49" w:rsidRDefault="00703C79" w:rsidP="00AA6146">
      <w:pPr>
        <w:pStyle w:val="Paragraphedeliste"/>
        <w:spacing w:line="240" w:lineRule="auto"/>
        <w:ind w:left="0"/>
        <w:contextualSpacing w:val="0"/>
        <w:jc w:val="both"/>
        <w:rPr>
          <w:rFonts w:cstheme="minorHAnsi"/>
          <w:color w:val="000000" w:themeColor="text1"/>
        </w:rPr>
      </w:pPr>
      <w:r w:rsidRPr="00D92E49">
        <w:rPr>
          <w:rFonts w:cstheme="minorHAnsi"/>
          <w:color w:val="000000" w:themeColor="text1"/>
        </w:rPr>
        <w:t>Pour être opérant, un objectif de performance est nécessairement associé</w:t>
      </w:r>
      <w:r w:rsidR="008549A7">
        <w:rPr>
          <w:rFonts w:cstheme="minorHAnsi"/>
          <w:color w:val="000000" w:themeColor="text1"/>
        </w:rPr>
        <w:t xml:space="preserve"> </w:t>
      </w:r>
      <w:r w:rsidRPr="00D92E49">
        <w:rPr>
          <w:rFonts w:cstheme="minorHAnsi"/>
          <w:color w:val="000000" w:themeColor="text1"/>
        </w:rPr>
        <w:t>à :</w:t>
      </w:r>
    </w:p>
    <w:p w14:paraId="0E5C78BE" w14:textId="77777777"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Une situation de référence ou « point zéro » décrivant les usages et caractéristiques de l’immeuble à l’entrée en vigueur du contrat et exprimant le comportement génétique de l’immeuble ;</w:t>
      </w:r>
    </w:p>
    <w:p w14:paraId="0C90CC25" w14:textId="77777777"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 indicateur de performance mesurable avec son unité ;</w:t>
      </w:r>
    </w:p>
    <w:p w14:paraId="29F466FB" w14:textId="77772872"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 seuil de performance à atteindre ;</w:t>
      </w:r>
    </w:p>
    <w:p w14:paraId="201F8639" w14:textId="77777777"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 délai</w:t>
      </w:r>
      <w:r>
        <w:rPr>
          <w:rFonts w:cstheme="minorHAnsi"/>
          <w:bCs/>
          <w:color w:val="000000" w:themeColor="text1"/>
        </w:rPr>
        <w:t xml:space="preserve"> ou une date </w:t>
      </w:r>
      <w:r w:rsidRPr="00D92E49">
        <w:rPr>
          <w:rFonts w:cstheme="minorHAnsi"/>
          <w:bCs/>
          <w:color w:val="000000" w:themeColor="text1"/>
        </w:rPr>
        <w:t>;</w:t>
      </w:r>
    </w:p>
    <w:p w14:paraId="746D06C8" w14:textId="77777777"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Une durée</w:t>
      </w:r>
      <w:r>
        <w:rPr>
          <w:rFonts w:cstheme="minorHAnsi"/>
          <w:bCs/>
          <w:color w:val="000000" w:themeColor="text1"/>
        </w:rPr>
        <w:t xml:space="preserve"> d’engagement </w:t>
      </w:r>
      <w:r w:rsidRPr="00D92E49">
        <w:rPr>
          <w:rFonts w:cstheme="minorHAnsi"/>
          <w:bCs/>
          <w:color w:val="000000" w:themeColor="text1"/>
        </w:rPr>
        <w:t>;</w:t>
      </w:r>
    </w:p>
    <w:p w14:paraId="15AA0AD7" w14:textId="77777777" w:rsidR="00703C79" w:rsidRPr="00D92E49" w:rsidRDefault="00703C79"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Une</w:t>
      </w:r>
      <w:r w:rsidRPr="00D92E49" w:rsidDel="00221B9F">
        <w:rPr>
          <w:rFonts w:cstheme="minorHAnsi"/>
          <w:bCs/>
          <w:color w:val="000000" w:themeColor="text1"/>
        </w:rPr>
        <w:t xml:space="preserve"> </w:t>
      </w:r>
      <w:r w:rsidRPr="00D92E49">
        <w:rPr>
          <w:rFonts w:cstheme="minorHAnsi"/>
          <w:bCs/>
          <w:color w:val="000000" w:themeColor="text1"/>
        </w:rPr>
        <w:t xml:space="preserve">indemnisation en cas de non-atteinte de l’objectif de performance ; </w:t>
      </w:r>
    </w:p>
    <w:p w14:paraId="376E880A" w14:textId="77777777" w:rsidR="00703C79" w:rsidRDefault="00703C79" w:rsidP="00AA6146">
      <w:pPr>
        <w:pStyle w:val="Paragraphedeliste"/>
        <w:numPr>
          <w:ilvl w:val="0"/>
          <w:numId w:val="4"/>
        </w:numPr>
        <w:spacing w:line="240" w:lineRule="auto"/>
        <w:contextualSpacing w:val="0"/>
        <w:jc w:val="both"/>
        <w:rPr>
          <w:rFonts w:cstheme="minorHAnsi"/>
          <w:color w:val="000000" w:themeColor="text1"/>
        </w:rPr>
      </w:pPr>
      <w:r w:rsidRPr="00D92E49">
        <w:rPr>
          <w:rFonts w:cstheme="minorHAnsi"/>
          <w:bCs/>
          <w:color w:val="000000" w:themeColor="text1"/>
        </w:rPr>
        <w:t>Un intéressement en cas de surperformance.</w:t>
      </w:r>
      <w:r w:rsidRPr="006976C6">
        <w:rPr>
          <w:rFonts w:cstheme="minorHAnsi"/>
          <w:color w:val="000000" w:themeColor="text1"/>
        </w:rPr>
        <w:t xml:space="preserve"> </w:t>
      </w:r>
    </w:p>
    <w:p w14:paraId="2665A85F" w14:textId="315784BE" w:rsidR="00703C79" w:rsidRPr="006976C6" w:rsidRDefault="00703C79" w:rsidP="00AA6146">
      <w:pPr>
        <w:spacing w:line="240" w:lineRule="auto"/>
        <w:jc w:val="both"/>
        <w:rPr>
          <w:rFonts w:cstheme="minorHAnsi"/>
          <w:color w:val="000000" w:themeColor="text1"/>
        </w:rPr>
      </w:pPr>
      <w:r w:rsidRPr="006976C6">
        <w:rPr>
          <w:rFonts w:cstheme="minorHAnsi"/>
          <w:color w:val="000000" w:themeColor="text1"/>
        </w:rPr>
        <w:t>Lorsqu’il comporte des objectifs de performance énergétique garantis, un MPGP est qualifié de CPE.</w:t>
      </w:r>
      <w:r>
        <w:rPr>
          <w:rFonts w:cstheme="minorHAnsi"/>
          <w:color w:val="000000" w:themeColor="text1"/>
        </w:rPr>
        <w:t xml:space="preserve"> En effet, l’</w:t>
      </w:r>
      <w:r w:rsidRPr="00BE3DAC">
        <w:rPr>
          <w:rFonts w:cstheme="minorHAnsi"/>
          <w:color w:val="000000" w:themeColor="text1"/>
        </w:rPr>
        <w:t xml:space="preserve">approche performancielle </w:t>
      </w:r>
      <w:r>
        <w:rPr>
          <w:rFonts w:cstheme="minorHAnsi"/>
          <w:color w:val="000000" w:themeColor="text1"/>
        </w:rPr>
        <w:t xml:space="preserve">du MPGP </w:t>
      </w:r>
      <w:r w:rsidRPr="00BE3DAC">
        <w:rPr>
          <w:rFonts w:cstheme="minorHAnsi"/>
          <w:color w:val="000000" w:themeColor="text1"/>
        </w:rPr>
        <w:t xml:space="preserve">s’adapte parfaitement aux caractéristiques d’un </w:t>
      </w:r>
      <w:r>
        <w:rPr>
          <w:rFonts w:cstheme="minorHAnsi"/>
          <w:color w:val="000000" w:themeColor="text1"/>
        </w:rPr>
        <w:t>CPE</w:t>
      </w:r>
      <w:r w:rsidRPr="00BE3DAC">
        <w:rPr>
          <w:rFonts w:cstheme="minorHAnsi"/>
          <w:color w:val="000000" w:themeColor="text1"/>
        </w:rPr>
        <w:t xml:space="preserve">. </w:t>
      </w:r>
      <w:r>
        <w:rPr>
          <w:rFonts w:cstheme="minorHAnsi"/>
          <w:color w:val="000000" w:themeColor="text1"/>
        </w:rPr>
        <w:t>Les MPGP</w:t>
      </w:r>
      <w:r w:rsidRPr="00BE3DAC">
        <w:rPr>
          <w:rFonts w:cstheme="minorHAnsi"/>
          <w:color w:val="000000" w:themeColor="text1"/>
        </w:rPr>
        <w:t xml:space="preserve"> ont </w:t>
      </w:r>
      <w:r>
        <w:rPr>
          <w:rFonts w:cstheme="minorHAnsi"/>
          <w:color w:val="000000" w:themeColor="text1"/>
        </w:rPr>
        <w:t xml:space="preserve">d’ailleurs </w:t>
      </w:r>
      <w:r w:rsidRPr="00BE3DAC">
        <w:rPr>
          <w:rFonts w:cstheme="minorHAnsi"/>
          <w:color w:val="000000" w:themeColor="text1"/>
        </w:rPr>
        <w:t>été initialement conçus pour faciliter la passation des CPE sous forme de marché public conformément aux recommandations de la loi n°2009-967 du 3 août 2009 de programmation relative à la mise en œuvre du Grenelle de l’environnement (dite « Loi Grenelle 1 »)</w:t>
      </w:r>
    </w:p>
    <w:p w14:paraId="24F91BF4" w14:textId="32D0AB41" w:rsidR="00703C79" w:rsidRPr="00B36305" w:rsidRDefault="008549A7" w:rsidP="00AA6146">
      <w:pPr>
        <w:pStyle w:val="Titre3"/>
        <w:spacing w:line="240" w:lineRule="auto"/>
      </w:pPr>
      <w:r w:rsidRPr="008B571E">
        <w:fldChar w:fldCharType="begin"/>
      </w:r>
      <w:r w:rsidRPr="008B571E">
        <w:instrText xml:space="preserve"> AUTONUMLGL </w:instrText>
      </w:r>
      <w:bookmarkStart w:id="8" w:name="_Toc112748993"/>
      <w:r w:rsidRPr="008B571E">
        <w:fldChar w:fldCharType="end"/>
      </w:r>
      <w:r w:rsidR="00703C79" w:rsidRPr="00B36305">
        <w:t xml:space="preserve"> Durée du MPGP</w:t>
      </w:r>
      <w:bookmarkEnd w:id="8"/>
    </w:p>
    <w:p w14:paraId="03B23882" w14:textId="58A54C34" w:rsidR="00703C79" w:rsidRPr="004B4D4C" w:rsidRDefault="00703C79" w:rsidP="00AA6146">
      <w:pPr>
        <w:spacing w:line="240" w:lineRule="auto"/>
        <w:jc w:val="both"/>
        <w:rPr>
          <w:bCs/>
          <w:color w:val="000000" w:themeColor="text1"/>
        </w:rPr>
      </w:pPr>
      <w:r w:rsidRPr="00EF2E04">
        <w:rPr>
          <w:bCs/>
          <w:color w:val="000000" w:themeColor="text1"/>
        </w:rPr>
        <w:t>L’engagement dans la durée est un élément important du MPGP. La durée d’un MPGP doit permettre à l’acheteur public de constater l’atteinte durable des Objectifs de Performance et de lier la rémunération du Titulaire au respect de ses engagements (Art</w:t>
      </w:r>
      <w:r w:rsidR="00396FAA">
        <w:rPr>
          <w:bCs/>
          <w:color w:val="000000" w:themeColor="text1"/>
        </w:rPr>
        <w:t>.</w:t>
      </w:r>
      <w:r w:rsidRPr="00EF2E04">
        <w:rPr>
          <w:bCs/>
          <w:color w:val="000000" w:themeColor="text1"/>
        </w:rPr>
        <w:t xml:space="preserve"> R.2171-2 du Code </w:t>
      </w:r>
      <w:r w:rsidRPr="004B4D4C">
        <w:rPr>
          <w:bCs/>
          <w:color w:val="000000" w:themeColor="text1"/>
        </w:rPr>
        <w:t>de la commande publique). Ainsi, une durée trop courte ne permet</w:t>
      </w:r>
      <w:r w:rsidR="008549A7">
        <w:rPr>
          <w:bCs/>
          <w:color w:val="000000" w:themeColor="text1"/>
        </w:rPr>
        <w:t>trait</w:t>
      </w:r>
      <w:r w:rsidRPr="004B4D4C">
        <w:rPr>
          <w:bCs/>
          <w:color w:val="000000" w:themeColor="text1"/>
        </w:rPr>
        <w:t xml:space="preserve"> pas au Maître d’Ouvrage de bénéficier d’une garantie suffisante.</w:t>
      </w:r>
    </w:p>
    <w:p w14:paraId="6ECE94F0" w14:textId="77777777" w:rsidR="008549A7" w:rsidRDefault="00703C79" w:rsidP="00AA6146">
      <w:pPr>
        <w:spacing w:line="240" w:lineRule="auto"/>
        <w:jc w:val="both"/>
        <w:rPr>
          <w:bCs/>
          <w:color w:val="000000" w:themeColor="text1"/>
        </w:rPr>
      </w:pPr>
      <w:r w:rsidRPr="004B4D4C">
        <w:rPr>
          <w:bCs/>
          <w:color w:val="000000" w:themeColor="text1"/>
        </w:rPr>
        <w:t xml:space="preserve">En outre, la durée d’un MPGP doit demeurer compatible avec la nécessité d’une remise en concurrence périodique des opérateurs </w:t>
      </w:r>
      <w:r w:rsidRPr="00E66733">
        <w:rPr>
          <w:bCs/>
          <w:color w:val="000000" w:themeColor="text1"/>
        </w:rPr>
        <w:t xml:space="preserve">économiques exigée pour tout marché public. L’article L.2112-5 du Code de la commande publique dispose en effet que : </w:t>
      </w:r>
    </w:p>
    <w:p w14:paraId="672E9709" w14:textId="49AC3734" w:rsidR="00703C79" w:rsidRPr="008549A7" w:rsidRDefault="00703C79" w:rsidP="00AA6146">
      <w:pPr>
        <w:pBdr>
          <w:left w:val="single" w:sz="4" w:space="4" w:color="auto"/>
        </w:pBdr>
        <w:spacing w:line="240" w:lineRule="auto"/>
        <w:ind w:left="708"/>
        <w:jc w:val="both"/>
        <w:rPr>
          <w:bCs/>
          <w:i/>
          <w:iCs/>
          <w:color w:val="000000" w:themeColor="text1"/>
        </w:rPr>
      </w:pPr>
      <w:r w:rsidRPr="008549A7">
        <w:rPr>
          <w:bCs/>
          <w:i/>
          <w:iCs/>
          <w:color w:val="000000" w:themeColor="text1"/>
        </w:rPr>
        <w:t xml:space="preserve">« La durée du marché est définie en tenant compte de la nature des prestations et de la nécessité d’une remise en concurrence périodique, dans des conditions prévues par décret en </w:t>
      </w:r>
      <w:r w:rsidRPr="008549A7">
        <w:rPr>
          <w:bCs/>
          <w:i/>
          <w:iCs/>
          <w:color w:val="000000" w:themeColor="text1"/>
        </w:rPr>
        <w:lastRenderedPageBreak/>
        <w:t>Conseil d’État, sous réserve des dispositions du présent livre relatives à la durée maximale de certains marchés. »</w:t>
      </w:r>
    </w:p>
    <w:p w14:paraId="01651CE0" w14:textId="77777777" w:rsidR="00703C79" w:rsidRPr="004B4D4C" w:rsidRDefault="00703C79" w:rsidP="00AA6146">
      <w:pPr>
        <w:spacing w:line="240" w:lineRule="auto"/>
        <w:jc w:val="both"/>
        <w:rPr>
          <w:bCs/>
          <w:color w:val="000000" w:themeColor="text1"/>
        </w:rPr>
      </w:pPr>
      <w:r w:rsidRPr="004B4D4C">
        <w:rPr>
          <w:bCs/>
          <w:color w:val="000000" w:themeColor="text1"/>
        </w:rPr>
        <w:t>Une trop longue durée peut par ailleurs s’avérer intrinsèquement problématique :</w:t>
      </w:r>
    </w:p>
    <w:p w14:paraId="1F11605E" w14:textId="77777777" w:rsidR="00703C79" w:rsidRPr="00CC7982" w:rsidRDefault="00703C79" w:rsidP="00AA6146">
      <w:pPr>
        <w:pStyle w:val="Paragraphedeliste"/>
        <w:numPr>
          <w:ilvl w:val="0"/>
          <w:numId w:val="21"/>
        </w:numPr>
        <w:spacing w:line="240" w:lineRule="auto"/>
        <w:contextualSpacing w:val="0"/>
        <w:jc w:val="both"/>
        <w:rPr>
          <w:bCs/>
          <w:color w:val="000000" w:themeColor="text1"/>
        </w:rPr>
      </w:pPr>
      <w:r w:rsidRPr="00CC7982">
        <w:rPr>
          <w:bCs/>
          <w:color w:val="000000" w:themeColor="text1"/>
        </w:rPr>
        <w:t>plus la durée est longue et plus il sera difficile de se projeter dans le futur et les évolutions de l’usage du bâtiment, tant pour l’acheteur public que pour le titulaire, ce qui risque de conduire à des aléas, des incompréhensions et des conflits au cours de l’exécution du marché ;</w:t>
      </w:r>
    </w:p>
    <w:p w14:paraId="78AAC951" w14:textId="66FA8EA7" w:rsidR="00703C79" w:rsidRPr="00B36305" w:rsidRDefault="00703C79" w:rsidP="00AA6146">
      <w:pPr>
        <w:pStyle w:val="Paragraphedeliste"/>
        <w:numPr>
          <w:ilvl w:val="0"/>
          <w:numId w:val="21"/>
        </w:numPr>
        <w:spacing w:line="240" w:lineRule="auto"/>
        <w:contextualSpacing w:val="0"/>
        <w:jc w:val="both"/>
        <w:rPr>
          <w:bCs/>
          <w:color w:val="000000" w:themeColor="text1"/>
        </w:rPr>
      </w:pPr>
      <w:r w:rsidRPr="00CC7982">
        <w:rPr>
          <w:bCs/>
          <w:color w:val="000000" w:themeColor="text1"/>
        </w:rPr>
        <w:t xml:space="preserve">la fixation de durées excessives est susceptible de pénaliser certains opérateurs économiques et de </w:t>
      </w:r>
      <w:r w:rsidR="008549A7">
        <w:rPr>
          <w:bCs/>
          <w:color w:val="000000" w:themeColor="text1"/>
        </w:rPr>
        <w:t>fausser</w:t>
      </w:r>
      <w:r w:rsidRPr="00CC7982">
        <w:rPr>
          <w:bCs/>
          <w:color w:val="000000" w:themeColor="text1"/>
        </w:rPr>
        <w:t xml:space="preserve"> les conditions de la concurrence. On songe sur ce point plus particulièrement aux petites et moyennes entreprises, qui éprouveront davantage de difficultés à établir leur pérennité pendant une période longue de garantie des objectifs de performance.</w:t>
      </w:r>
    </w:p>
    <w:p w14:paraId="673CDF84" w14:textId="022577DF" w:rsidR="00703C79" w:rsidRPr="00062C1B" w:rsidRDefault="00703C79" w:rsidP="00AA6146">
      <w:pPr>
        <w:pStyle w:val="Titre1"/>
        <w:spacing w:line="240" w:lineRule="auto"/>
      </w:pPr>
      <w:r w:rsidRPr="00516971">
        <w:fldChar w:fldCharType="begin"/>
      </w:r>
      <w:r w:rsidRPr="00516971">
        <w:instrText xml:space="preserve"> AUTONUMLGL </w:instrText>
      </w:r>
      <w:bookmarkStart w:id="9" w:name="_Toc112748994"/>
      <w:r w:rsidRPr="00516971">
        <w:fldChar w:fldCharType="end"/>
      </w:r>
      <w:r w:rsidRPr="00062C1B">
        <w:t xml:space="preserve"> Contenu du </w:t>
      </w:r>
      <w:r w:rsidR="00865AA7">
        <w:t>Clausier CPE FNCCR</w:t>
      </w:r>
      <w:bookmarkEnd w:id="9"/>
    </w:p>
    <w:p w14:paraId="2557BD5F" w14:textId="504E27CA" w:rsidR="00703C79" w:rsidRDefault="00703C79" w:rsidP="00AA6146">
      <w:pPr>
        <w:spacing w:line="240" w:lineRule="auto"/>
        <w:jc w:val="both"/>
      </w:pPr>
      <w:r w:rsidRPr="00D22189">
        <w:t xml:space="preserve">Le groupe de travail </w:t>
      </w:r>
      <w:r>
        <w:t xml:space="preserve">a permis au Cabinet LexCity et à la FNCCR de produire le </w:t>
      </w:r>
      <w:r w:rsidR="00865AA7">
        <w:t>Clausier CPE FNCCR</w:t>
      </w:r>
      <w:r>
        <w:t xml:space="preserve"> détaillé ci-dessous :</w:t>
      </w:r>
    </w:p>
    <w:p w14:paraId="10FB7B67" w14:textId="06FC503C" w:rsidR="00703C79" w:rsidRPr="000F5798" w:rsidRDefault="000F5798" w:rsidP="000F5798">
      <w:pPr>
        <w:pStyle w:val="Paragraphedeliste"/>
        <w:numPr>
          <w:ilvl w:val="0"/>
          <w:numId w:val="8"/>
        </w:numPr>
        <w:spacing w:line="240" w:lineRule="auto"/>
        <w:contextualSpacing w:val="0"/>
        <w:jc w:val="both"/>
      </w:pPr>
      <w:r w:rsidRPr="000F5798">
        <w:t>Le présent</w:t>
      </w:r>
      <w:r w:rsidR="00703C79" w:rsidRPr="000F5798">
        <w:t xml:space="preserve"> guide d’utilisation : Le guide d’utilisation et les modèles de documents intégreront des focus et des recommandations pour accompagner la collectivité dans la mise en place des contrats CPE. </w:t>
      </w:r>
    </w:p>
    <w:p w14:paraId="1382AAFC" w14:textId="77777777" w:rsidR="008549A7" w:rsidRDefault="008549A7" w:rsidP="00AA6146">
      <w:pPr>
        <w:pStyle w:val="Paragraphedeliste"/>
        <w:numPr>
          <w:ilvl w:val="0"/>
          <w:numId w:val="8"/>
        </w:numPr>
        <w:spacing w:line="240" w:lineRule="auto"/>
        <w:contextualSpacing w:val="0"/>
        <w:jc w:val="both"/>
      </w:pPr>
      <w:r>
        <w:t>Le CCAG CPE : La référence aux différents Cahiers des clauses administratives générales « CCAG » existants et approuvés par arrêté du ministre chargé de l'économie et des ministres intéressés, classique en marchés publics, n’est pas adaptée pour les marchés publics globaux en général, et pour les marchés publics globaux de performance énergétique en particulier. Par exemple, le CCAG travaux est basé sur la dualité Maître d’Œuvre/entreprise qui n’a pas cours dans le cas des marchés intégrant conception et réalisation où les deux parties appartiennent au groupement titulaire.</w:t>
      </w:r>
    </w:p>
    <w:p w14:paraId="16E6385A" w14:textId="77777777" w:rsidR="008549A7" w:rsidRDefault="008549A7" w:rsidP="00AA6146">
      <w:pPr>
        <w:spacing w:line="240" w:lineRule="auto"/>
        <w:ind w:left="360"/>
        <w:jc w:val="both"/>
      </w:pPr>
      <w:r>
        <w:t>La rédaction par la FNCCR du présent CCAG consacré aux CPE en MPGP et destiné aux acheteurs publics locaux, fournit une réponse à cette situation.</w:t>
      </w:r>
    </w:p>
    <w:p w14:paraId="190C8E05" w14:textId="77777777" w:rsidR="008549A7" w:rsidRPr="005427D9" w:rsidRDefault="008549A7" w:rsidP="00AA6146">
      <w:pPr>
        <w:spacing w:line="240" w:lineRule="auto"/>
        <w:ind w:left="708"/>
        <w:jc w:val="both"/>
        <w:rPr>
          <w:i/>
          <w:iCs/>
        </w:rPr>
      </w:pPr>
      <w:r w:rsidRPr="005427D9">
        <w:rPr>
          <w:i/>
          <w:iCs/>
        </w:rPr>
        <w:t>NB : par « CCAG CPE » est entendu le présent document regroupant les clauses administratives générales du Marché, incluses par le Maître d’Ouvrage dans les documents contractuels ; il ne constitue donc pas, au sens strict, un cahier des clauses administratives générales approuvé par arrêté du ministre chargé de l'économie et des ministres intéressés au sens de l’article R.2112-2 du Code de la commande publique.</w:t>
      </w:r>
    </w:p>
    <w:p w14:paraId="4EA17711" w14:textId="3BFEDBDD" w:rsidR="008549A7" w:rsidRDefault="008549A7" w:rsidP="00AA6146">
      <w:pPr>
        <w:pStyle w:val="Paragraphedeliste"/>
        <w:numPr>
          <w:ilvl w:val="0"/>
          <w:numId w:val="8"/>
        </w:numPr>
        <w:spacing w:line="240" w:lineRule="auto"/>
        <w:contextualSpacing w:val="0"/>
        <w:jc w:val="both"/>
      </w:pPr>
      <w:r w:rsidRPr="0036397E">
        <w:t>Un modèle d’AAPC</w:t>
      </w:r>
      <w:r>
        <w:t xml:space="preserve"> (Avis d’appel public à la concurrence)</w:t>
      </w:r>
      <w:r w:rsidRPr="0036397E">
        <w:t xml:space="preserve"> applicable en procédure de dialogue compétitif</w:t>
      </w:r>
    </w:p>
    <w:p w14:paraId="2361A750" w14:textId="77777777" w:rsidR="008549A7" w:rsidRPr="0036397E" w:rsidRDefault="008549A7" w:rsidP="00AA6146">
      <w:pPr>
        <w:pStyle w:val="Paragraphedeliste"/>
        <w:numPr>
          <w:ilvl w:val="0"/>
          <w:numId w:val="8"/>
        </w:numPr>
        <w:spacing w:line="240" w:lineRule="auto"/>
        <w:contextualSpacing w:val="0"/>
        <w:jc w:val="both"/>
      </w:pPr>
      <w:r w:rsidRPr="0036397E">
        <w:t xml:space="preserve">Un modèle de RC </w:t>
      </w:r>
      <w:r>
        <w:t xml:space="preserve">(règlement de consultation) </w:t>
      </w:r>
      <w:r w:rsidRPr="0036397E">
        <w:t>applicable en procédure de dialogue compétiti</w:t>
      </w:r>
      <w:r>
        <w:t>f</w:t>
      </w:r>
    </w:p>
    <w:p w14:paraId="745C5D42" w14:textId="77777777" w:rsidR="008549A7" w:rsidRPr="0036397E" w:rsidRDefault="008549A7" w:rsidP="00AA6146">
      <w:pPr>
        <w:pStyle w:val="Paragraphedeliste"/>
        <w:numPr>
          <w:ilvl w:val="0"/>
          <w:numId w:val="8"/>
        </w:numPr>
        <w:spacing w:line="240" w:lineRule="auto"/>
        <w:contextualSpacing w:val="0"/>
        <w:jc w:val="both"/>
      </w:pPr>
      <w:r w:rsidRPr="0036397E">
        <w:t>Un modèle d’AAPC applicable en procédure avec négociation</w:t>
      </w:r>
    </w:p>
    <w:p w14:paraId="1672ABD5" w14:textId="77777777" w:rsidR="008549A7" w:rsidRPr="0036397E" w:rsidRDefault="008549A7" w:rsidP="00AA6146">
      <w:pPr>
        <w:pStyle w:val="Paragraphedeliste"/>
        <w:numPr>
          <w:ilvl w:val="0"/>
          <w:numId w:val="8"/>
        </w:numPr>
        <w:spacing w:line="240" w:lineRule="auto"/>
        <w:contextualSpacing w:val="0"/>
        <w:jc w:val="both"/>
      </w:pPr>
      <w:r w:rsidRPr="0036397E">
        <w:t>Un modèle de RC applicable en procédure avec négociation</w:t>
      </w:r>
    </w:p>
    <w:p w14:paraId="244A1CE9" w14:textId="2F40541A" w:rsidR="00703C79" w:rsidRDefault="008549A7" w:rsidP="00AA6146">
      <w:pPr>
        <w:pStyle w:val="Paragraphedeliste"/>
        <w:numPr>
          <w:ilvl w:val="0"/>
          <w:numId w:val="8"/>
        </w:numPr>
        <w:spacing w:line="240" w:lineRule="auto"/>
        <w:contextualSpacing w:val="0"/>
        <w:jc w:val="both"/>
      </w:pPr>
      <w:r w:rsidRPr="0047340B">
        <w:t>Un modèle de CCAP CPE fondé sur le CCAG CPE</w:t>
      </w:r>
      <w:r>
        <w:t xml:space="preserve"> : </w:t>
      </w:r>
      <w:r w:rsidR="00703C79">
        <w:t>Le CCAP CPE complète le CCAG CPE</w:t>
      </w:r>
      <w:r w:rsidR="00703C79" w:rsidRPr="00AB1D53">
        <w:t xml:space="preserve"> afin de tenir compte</w:t>
      </w:r>
      <w:r>
        <w:t xml:space="preserve"> </w:t>
      </w:r>
      <w:r w:rsidR="00703C79">
        <w:t>d</w:t>
      </w:r>
      <w:r w:rsidR="00703C79" w:rsidRPr="00AB1D53">
        <w:t>es spécificités de chaque projet</w:t>
      </w:r>
      <w:r w:rsidR="00703C79">
        <w:t>, a</w:t>
      </w:r>
      <w:r w:rsidR="00703C79" w:rsidRPr="00AB1D53">
        <w:t xml:space="preserve">insi que des usages de chaque Maître d’Ouvrage. </w:t>
      </w:r>
      <w:r w:rsidR="00703C79" w:rsidRPr="0047340B">
        <w:t>Le CCAP CPE ne contient ainsi que les clauses spécifiques et renvoie au CCAG CPE pour les clauses banales, si bien que l’appareillage contractuel est considérablement simplifié.</w:t>
      </w:r>
      <w:r w:rsidR="00703C79">
        <w:t xml:space="preserve"> </w:t>
      </w:r>
      <w:r w:rsidR="00703C79" w:rsidRPr="00AB1D53">
        <w:t xml:space="preserve">Sauf stipulations </w:t>
      </w:r>
      <w:r w:rsidR="00703C79" w:rsidRPr="00AB1D53">
        <w:lastRenderedPageBreak/>
        <w:t>d’ordre public, le CCAP peut apporter toutes dérogations aux stipulations du CCAG CPE. Il comporte alors une liste récapitulative des articles du CCAG CPE auxquels il est dérogé.</w:t>
      </w:r>
    </w:p>
    <w:p w14:paraId="35DAB878" w14:textId="7B05DC9E" w:rsidR="00703C79" w:rsidRPr="00621BF8" w:rsidRDefault="00334362" w:rsidP="00AA6146">
      <w:pPr>
        <w:pStyle w:val="Titre"/>
        <w:spacing w:line="240" w:lineRule="auto"/>
      </w:pPr>
      <w:bookmarkStart w:id="10" w:name="_Toc112748995"/>
      <w:r w:rsidRPr="008210DC">
        <w:lastRenderedPageBreak/>
        <w:t xml:space="preserve">Partie </w:t>
      </w:r>
      <w:r>
        <w:t>II</w:t>
      </w:r>
      <w:r w:rsidRPr="008210DC">
        <w:t xml:space="preserve"> : </w:t>
      </w:r>
      <w:r w:rsidR="00E712F1">
        <w:t>P</w:t>
      </w:r>
      <w:r>
        <w:t xml:space="preserve">oints clés des </w:t>
      </w:r>
      <w:r w:rsidR="008549A7">
        <w:t>CPE</w:t>
      </w:r>
      <w:bookmarkEnd w:id="10"/>
    </w:p>
    <w:p w14:paraId="0EDC4563" w14:textId="30247CA4" w:rsidR="00145462" w:rsidRPr="00C561D0" w:rsidRDefault="00B40AE7" w:rsidP="00AA6146">
      <w:pPr>
        <w:pStyle w:val="Titre1"/>
        <w:spacing w:line="240" w:lineRule="auto"/>
      </w:pPr>
      <w:r w:rsidRPr="008B571E">
        <w:fldChar w:fldCharType="begin"/>
      </w:r>
      <w:r w:rsidRPr="008B571E">
        <w:instrText xml:space="preserve"> AUTONUMLGL </w:instrText>
      </w:r>
      <w:bookmarkStart w:id="11" w:name="_Toc112748996"/>
      <w:r w:rsidRPr="008B571E">
        <w:fldChar w:fldCharType="end"/>
      </w:r>
      <w:r w:rsidRPr="008B571E">
        <w:t xml:space="preserve"> </w:t>
      </w:r>
      <w:r w:rsidR="00062C1B">
        <w:t>Origine</w:t>
      </w:r>
      <w:r w:rsidR="00062C1B" w:rsidRPr="00C561D0">
        <w:t xml:space="preserve"> </w:t>
      </w:r>
      <w:r w:rsidR="00145462" w:rsidRPr="00C561D0">
        <w:t>des CPE</w:t>
      </w:r>
      <w:bookmarkEnd w:id="11"/>
    </w:p>
    <w:p w14:paraId="2F096C28" w14:textId="20B24E64" w:rsidR="009C4B86" w:rsidRDefault="00560024" w:rsidP="00AA6146">
      <w:pPr>
        <w:spacing w:line="240" w:lineRule="auto"/>
        <w:jc w:val="both"/>
      </w:pPr>
      <w:r>
        <w:t>L</w:t>
      </w:r>
      <w:r w:rsidR="008263D6">
        <w:t>es CPE sont aujourd’hui plus que jamais indispensables à la transition énergétique et détiennent une place centrale dans la réalisation des objectifs de réduction des consommations d’énergie</w:t>
      </w:r>
      <w:r w:rsidR="009F47D6">
        <w:t xml:space="preserve">. Les objectifs </w:t>
      </w:r>
      <w:r w:rsidR="008263D6">
        <w:t xml:space="preserve">fixés par le </w:t>
      </w:r>
      <w:r w:rsidR="007954E6">
        <w:t>dispositif éco-énergie</w:t>
      </w:r>
      <w:r w:rsidR="000F3000">
        <w:t xml:space="preserve"> tertiaire</w:t>
      </w:r>
      <w:r w:rsidR="008263D6">
        <w:t xml:space="preserve"> aux horizons 2030, 2040 et 2050</w:t>
      </w:r>
      <w:r w:rsidR="009F47D6">
        <w:t xml:space="preserve"> sont ambitieux, c’est pourquoi les collectivités </w:t>
      </w:r>
      <w:r w:rsidR="007954E6">
        <w:t xml:space="preserve">territoriales et les EPCI </w:t>
      </w:r>
      <w:r w:rsidR="009F47D6">
        <w:t>doivent pouvoir disposer d</w:t>
      </w:r>
      <w:r w:rsidR="00310CE8">
        <w:t>’</w:t>
      </w:r>
      <w:r w:rsidR="009F47D6">
        <w:t xml:space="preserve">outils </w:t>
      </w:r>
      <w:r w:rsidR="00310CE8">
        <w:t>performants et opérationnels pour réaliser leurs missions.</w:t>
      </w:r>
    </w:p>
    <w:p w14:paraId="42945269" w14:textId="52D8F241" w:rsidR="00145462" w:rsidRDefault="00B00EF3" w:rsidP="00AA6146">
      <w:pPr>
        <w:spacing w:line="240" w:lineRule="auto"/>
        <w:jc w:val="both"/>
      </w:pPr>
      <w:r>
        <w:t>L</w:t>
      </w:r>
      <w:r w:rsidR="0004433E">
        <w:t>e</w:t>
      </w:r>
      <w:r w:rsidR="00560024">
        <w:t>s</w:t>
      </w:r>
      <w:r w:rsidR="0004433E">
        <w:t xml:space="preserve"> </w:t>
      </w:r>
      <w:r w:rsidR="009F47D6">
        <w:t>CPE</w:t>
      </w:r>
      <w:r w:rsidR="00560024">
        <w:t xml:space="preserve"> </w:t>
      </w:r>
      <w:r w:rsidR="006A09A1">
        <w:t xml:space="preserve">jouent </w:t>
      </w:r>
      <w:r>
        <w:t xml:space="preserve">donc </w:t>
      </w:r>
      <w:r w:rsidR="006A09A1">
        <w:t>un rôle</w:t>
      </w:r>
      <w:r w:rsidR="0004433E">
        <w:t xml:space="preserve"> clé dans la réussite des projets de rénovation énergétique menés par les </w:t>
      </w:r>
      <w:r w:rsidR="00F91705">
        <w:t xml:space="preserve">acheteurs publics, et les </w:t>
      </w:r>
      <w:r w:rsidR="0004433E">
        <w:t>collectivités</w:t>
      </w:r>
      <w:r w:rsidR="00F91705">
        <w:t xml:space="preserve"> territoriales en particulier</w:t>
      </w:r>
      <w:r w:rsidR="00560024">
        <w:t xml:space="preserve">. </w:t>
      </w:r>
      <w:r w:rsidR="006A09A1">
        <w:t xml:space="preserve">Portés dans un premier temps par les directives européennes de 2006, 2010 et 2012 puis transposés en droit français dans le cadre des lois POPE de 2005, Grenelle de 2009 et </w:t>
      </w:r>
      <w:r w:rsidR="00B76753">
        <w:t>2010, puis</w:t>
      </w:r>
      <w:r w:rsidR="006A09A1">
        <w:t xml:space="preserve"> par la L</w:t>
      </w:r>
      <w:r w:rsidR="00BE0D70">
        <w:t xml:space="preserve">oi de transition énergétique pour la croissance verte (LTECV) </w:t>
      </w:r>
      <w:r w:rsidR="006A09A1">
        <w:t>de 2015</w:t>
      </w:r>
      <w:r w:rsidR="007954E6">
        <w:t xml:space="preserve"> et la loi ELAN de 2018</w:t>
      </w:r>
      <w:r w:rsidR="006A09A1">
        <w:t xml:space="preserve">, </w:t>
      </w:r>
      <w:r>
        <w:t xml:space="preserve">les CPE sont aujourd’hui un outil </w:t>
      </w:r>
      <w:r w:rsidR="007749E1">
        <w:t>adapté aux</w:t>
      </w:r>
      <w:r>
        <w:t xml:space="preserve"> </w:t>
      </w:r>
      <w:r w:rsidR="007749E1">
        <w:t>c</w:t>
      </w:r>
      <w:r>
        <w:t xml:space="preserve">ollectivités souhaitant se lancer dans la </w:t>
      </w:r>
      <w:r w:rsidR="006A09A1">
        <w:t>rénovation énergétique de</w:t>
      </w:r>
      <w:r>
        <w:t xml:space="preserve"> leur</w:t>
      </w:r>
      <w:r w:rsidR="006A09A1">
        <w:t xml:space="preserve"> </w:t>
      </w:r>
      <w:r>
        <w:t>parc de bâtiments.</w:t>
      </w:r>
    </w:p>
    <w:p w14:paraId="4DEED946" w14:textId="223A02C8" w:rsidR="00D444F8" w:rsidRDefault="006A09A1" w:rsidP="00AA6146">
      <w:pPr>
        <w:spacing w:line="240" w:lineRule="auto"/>
        <w:jc w:val="both"/>
      </w:pPr>
      <w:r>
        <w:t>A cet égard, et au vu des évolutions des règles de la commande publique, de</w:t>
      </w:r>
      <w:r w:rsidR="009A55F1">
        <w:t>s</w:t>
      </w:r>
      <w:r>
        <w:t xml:space="preserve"> nouveaux schémas financiers existants et des évolutions de l’organisation territoriale, la mise à jour des pièces constitutives des CPE est aujourd’hui essentielle à leur bonne mise en œuvre. Dans ce contexte, l</w:t>
      </w:r>
      <w:r w:rsidR="00C9723F">
        <w:t>a FNCCR, accompagnée par le Cabinet LexCity</w:t>
      </w:r>
      <w:r w:rsidR="00F91705">
        <w:t xml:space="preserve"> </w:t>
      </w:r>
      <w:r w:rsidR="00BF072C">
        <w:t>a</w:t>
      </w:r>
      <w:r w:rsidR="00F91705">
        <w:t>vocats</w:t>
      </w:r>
      <w:r w:rsidR="00C9723F">
        <w:t xml:space="preserve"> a donc engagé la mise à jour du</w:t>
      </w:r>
      <w:r w:rsidR="004C58D7">
        <w:t xml:space="preserve"> clausier CPE de 2012</w:t>
      </w:r>
      <w:r w:rsidR="00C9723F">
        <w:t>.</w:t>
      </w:r>
    </w:p>
    <w:p w14:paraId="2913FF16" w14:textId="6807B3A3" w:rsidR="009420FB" w:rsidRPr="009420FB" w:rsidRDefault="00B40AE7" w:rsidP="00AA6146">
      <w:pPr>
        <w:pStyle w:val="Titre1"/>
        <w:spacing w:line="240" w:lineRule="auto"/>
      </w:pPr>
      <w:r w:rsidRPr="008B571E">
        <w:fldChar w:fldCharType="begin"/>
      </w:r>
      <w:r w:rsidRPr="008B571E">
        <w:instrText xml:space="preserve"> AUTONUMLGL </w:instrText>
      </w:r>
      <w:bookmarkStart w:id="12" w:name="_Toc112748997"/>
      <w:r w:rsidRPr="008B571E">
        <w:fldChar w:fldCharType="end"/>
      </w:r>
      <w:r w:rsidRPr="008B571E">
        <w:t xml:space="preserve"> </w:t>
      </w:r>
      <w:r w:rsidR="009420FB" w:rsidRPr="009420FB">
        <w:t>Définitions</w:t>
      </w:r>
      <w:r w:rsidR="00846C83">
        <w:t xml:space="preserve"> </w:t>
      </w:r>
      <w:r w:rsidR="00C00AE7">
        <w:t>actuelles</w:t>
      </w:r>
      <w:r w:rsidR="00846C83">
        <w:t xml:space="preserve"> du CPE</w:t>
      </w:r>
      <w:bookmarkEnd w:id="12"/>
    </w:p>
    <w:p w14:paraId="7E12D39B" w14:textId="2BB5B1C3" w:rsidR="00D17ED4" w:rsidRPr="00D92E49" w:rsidRDefault="00D17ED4" w:rsidP="00AA6146">
      <w:pPr>
        <w:pStyle w:val="Paragraphedeliste"/>
        <w:spacing w:line="240" w:lineRule="auto"/>
        <w:ind w:left="0"/>
        <w:contextualSpacing w:val="0"/>
        <w:jc w:val="both"/>
        <w:rPr>
          <w:rFonts w:cstheme="minorHAnsi"/>
          <w:i/>
          <w:iCs/>
          <w:color w:val="000000" w:themeColor="text1"/>
        </w:rPr>
      </w:pPr>
      <w:r w:rsidRPr="00D92E49">
        <w:rPr>
          <w:rFonts w:cstheme="minorHAnsi"/>
          <w:color w:val="000000" w:themeColor="text1"/>
        </w:rPr>
        <w:t>Dans le champ de la commande publique, un CPE peut être défini comme « </w:t>
      </w:r>
      <w:r w:rsidRPr="00D92E49">
        <w:rPr>
          <w:rFonts w:cstheme="minorHAnsi"/>
          <w:i/>
          <w:color w:val="000000" w:themeColor="text1"/>
        </w:rPr>
        <w:t>tout contrat conclu entre un acheteur public et une société de services d’efficacité énergétique visant à garantir, par rapport à une situation de référence contractuelle, l’amélioration de la performance énergétique d’un bâtiment ou d’un parc de bâtiments, vérifiée et mesurée dans la durée, par un investissement dans des travaux, fournitures ou services </w:t>
      </w:r>
      <w:r w:rsidRPr="00D92E49">
        <w:rPr>
          <w:rFonts w:cstheme="minorHAnsi"/>
          <w:color w:val="000000" w:themeColor="text1"/>
        </w:rPr>
        <w:t>» (O. Ortega, Les contrats de performance énergétique, Doc. </w:t>
      </w:r>
      <w:proofErr w:type="spellStart"/>
      <w:r w:rsidRPr="00D92E49">
        <w:rPr>
          <w:rFonts w:cstheme="minorHAnsi"/>
          <w:color w:val="000000" w:themeColor="text1"/>
        </w:rPr>
        <w:t>fr.</w:t>
      </w:r>
      <w:proofErr w:type="spellEnd"/>
      <w:r w:rsidRPr="00D92E49">
        <w:rPr>
          <w:rFonts w:cstheme="minorHAnsi"/>
          <w:color w:val="000000" w:themeColor="text1"/>
        </w:rPr>
        <w:t>, 2011). Peuvent être considérées comme agissant en qualité de « </w:t>
      </w:r>
      <w:r w:rsidRPr="00D92E49">
        <w:rPr>
          <w:rFonts w:cstheme="minorHAnsi"/>
          <w:i/>
          <w:color w:val="000000" w:themeColor="text1"/>
        </w:rPr>
        <w:t>sociétés de services d’efficacité énergétique » (SSEE), « toute entreprise, quel que soit son secteur principal d’activité, intervenant comme cocontractante d’un acheteur public et qui met en œuvre des travaux, fournitures ou services visant à réduire les consommations d’énergie dans le cadre d’un CPE</w:t>
      </w:r>
      <w:r w:rsidRPr="00D92E49">
        <w:rPr>
          <w:rFonts w:cstheme="minorHAnsi"/>
          <w:color w:val="000000" w:themeColor="text1"/>
        </w:rPr>
        <w:t xml:space="preserve"> » (O. Ortega, </w:t>
      </w:r>
      <w:r w:rsidRPr="00D92E49">
        <w:rPr>
          <w:rFonts w:cstheme="minorHAnsi"/>
          <w:i/>
          <w:iCs/>
          <w:color w:val="000000" w:themeColor="text1"/>
        </w:rPr>
        <w:t xml:space="preserve">op. </w:t>
      </w:r>
      <w:proofErr w:type="spellStart"/>
      <w:r w:rsidRPr="00D92E49">
        <w:rPr>
          <w:rFonts w:cstheme="minorHAnsi"/>
          <w:i/>
          <w:iCs/>
          <w:color w:val="000000" w:themeColor="text1"/>
        </w:rPr>
        <w:t>cit</w:t>
      </w:r>
      <w:proofErr w:type="spellEnd"/>
      <w:r w:rsidRPr="00D92E49">
        <w:rPr>
          <w:rFonts w:cstheme="minorHAnsi"/>
          <w:i/>
          <w:iCs/>
          <w:color w:val="000000" w:themeColor="text1"/>
        </w:rPr>
        <w:t>.).</w:t>
      </w:r>
    </w:p>
    <w:p w14:paraId="334CD320" w14:textId="16648472" w:rsidR="00D17ED4" w:rsidRPr="001C611C" w:rsidRDefault="00D17ED4" w:rsidP="001C611C">
      <w:pPr>
        <w:spacing w:line="240" w:lineRule="auto"/>
        <w:jc w:val="both"/>
        <w:rPr>
          <w:rFonts w:cstheme="minorHAnsi"/>
          <w:color w:val="000000" w:themeColor="text1"/>
        </w:rPr>
      </w:pPr>
      <w:r w:rsidRPr="001C611C">
        <w:rPr>
          <w:rFonts w:cstheme="minorHAnsi"/>
          <w:color w:val="000000" w:themeColor="text1"/>
        </w:rPr>
        <w:t xml:space="preserve">Cette définition du CPE </w:t>
      </w:r>
      <w:r w:rsidR="007954E6" w:rsidRPr="001C611C">
        <w:rPr>
          <w:rFonts w:cstheme="minorHAnsi"/>
          <w:color w:val="000000" w:themeColor="text1"/>
        </w:rPr>
        <w:t>s’inscrit</w:t>
      </w:r>
      <w:r w:rsidRPr="001C611C">
        <w:rPr>
          <w:rFonts w:cstheme="minorHAnsi"/>
          <w:color w:val="000000" w:themeColor="text1"/>
        </w:rPr>
        <w:t xml:space="preserve"> </w:t>
      </w:r>
      <w:r w:rsidR="007954E6" w:rsidRPr="001C611C">
        <w:rPr>
          <w:rFonts w:cstheme="minorHAnsi"/>
          <w:color w:val="000000" w:themeColor="text1"/>
        </w:rPr>
        <w:t>en</w:t>
      </w:r>
      <w:r w:rsidRPr="001C611C">
        <w:rPr>
          <w:rFonts w:cstheme="minorHAnsi"/>
          <w:color w:val="000000" w:themeColor="text1"/>
        </w:rPr>
        <w:t xml:space="preserve"> </w:t>
      </w:r>
      <w:r w:rsidR="00AE6B91">
        <w:rPr>
          <w:rFonts w:cstheme="minorHAnsi"/>
          <w:color w:val="000000" w:themeColor="text1"/>
        </w:rPr>
        <w:t xml:space="preserve">étroite </w:t>
      </w:r>
      <w:r w:rsidRPr="001C611C">
        <w:rPr>
          <w:rFonts w:cstheme="minorHAnsi"/>
          <w:color w:val="000000" w:themeColor="text1"/>
        </w:rPr>
        <w:t xml:space="preserve">cohérence avec celle issue de l’arrêté </w:t>
      </w:r>
      <w:r w:rsidR="001C611C">
        <w:t>modifié du 29 décembre 2014</w:t>
      </w:r>
      <w:r w:rsidR="000C404C">
        <w:t xml:space="preserve">, spécifique au </w:t>
      </w:r>
      <w:r w:rsidR="001C611C">
        <w:t>dispositif des certificats d'économies d'énergie</w:t>
      </w:r>
      <w:r w:rsidR="001C611C">
        <w:rPr>
          <w:rFonts w:cstheme="minorHAnsi"/>
          <w:color w:val="000000" w:themeColor="text1"/>
        </w:rPr>
        <w:t> :</w:t>
      </w:r>
    </w:p>
    <w:p w14:paraId="61D5B0BA" w14:textId="20FAE19E" w:rsidR="001C611C" w:rsidRPr="001C611C" w:rsidRDefault="001C611C" w:rsidP="001C611C">
      <w:pPr>
        <w:pBdr>
          <w:left w:val="single" w:sz="4" w:space="4" w:color="auto"/>
        </w:pBdr>
        <w:spacing w:line="240" w:lineRule="auto"/>
        <w:ind w:left="708"/>
        <w:jc w:val="both"/>
        <w:rPr>
          <w:i/>
          <w:iCs/>
        </w:rPr>
      </w:pPr>
      <w:r w:rsidRPr="00810416">
        <w:rPr>
          <w:i/>
          <w:iCs/>
        </w:rPr>
        <w:t xml:space="preserve">« Un contrat de performance énergétique (CPE) est un contrat conclu entre un donneur d'ordre et une société de services d'efficacité énergétique visant à garantir une diminution des consommations énergétiques du maître d'ouvrage, vérifiée et mesurée par rapport à une situation de référence contractuelle, sur une </w:t>
      </w:r>
      <w:proofErr w:type="gramStart"/>
      <w:r w:rsidRPr="00810416">
        <w:rPr>
          <w:i/>
          <w:iCs/>
        </w:rPr>
        <w:t>période de temps</w:t>
      </w:r>
      <w:proofErr w:type="gramEnd"/>
      <w:r w:rsidRPr="00810416">
        <w:rPr>
          <w:i/>
          <w:iCs/>
        </w:rPr>
        <w:t xml:space="preserve"> donnée grâce à un investissement dans des travaux, fournitures ou prestations de services. En cas de non atteinte des objectifs du contrat, celui-ci prévoit des pénalités financières.</w:t>
      </w:r>
      <w:r w:rsidR="00A94D0C">
        <w:rPr>
          <w:i/>
          <w:iCs/>
        </w:rPr>
        <w:t> »</w:t>
      </w:r>
    </w:p>
    <w:bookmarkStart w:id="13" w:name="_Ref66973644"/>
    <w:p w14:paraId="408A1E0D" w14:textId="543CABCB" w:rsidR="006A5A11" w:rsidRPr="006A5A11" w:rsidRDefault="00B40AE7" w:rsidP="00AA6146">
      <w:pPr>
        <w:pStyle w:val="Titre1"/>
        <w:spacing w:line="240" w:lineRule="auto"/>
      </w:pPr>
      <w:r w:rsidRPr="008B571E">
        <w:lastRenderedPageBreak/>
        <w:fldChar w:fldCharType="begin"/>
      </w:r>
      <w:r w:rsidRPr="008B571E">
        <w:instrText xml:space="preserve"> AUTONUMLGL </w:instrText>
      </w:r>
      <w:bookmarkStart w:id="14" w:name="_Toc112748998"/>
      <w:r w:rsidRPr="008B571E">
        <w:fldChar w:fldCharType="end"/>
      </w:r>
      <w:r w:rsidRPr="008B571E">
        <w:t xml:space="preserve"> </w:t>
      </w:r>
      <w:r w:rsidR="006A5A11">
        <w:t>F</w:t>
      </w:r>
      <w:r w:rsidR="006A5A11" w:rsidRPr="006A5A11">
        <w:t>amilles de CPE</w:t>
      </w:r>
      <w:bookmarkEnd w:id="13"/>
      <w:bookmarkEnd w:id="14"/>
      <w:r w:rsidR="00AC6F31">
        <w:fldChar w:fldCharType="begin"/>
      </w:r>
      <w:r w:rsidR="00AC6F31">
        <w:instrText xml:space="preserve"> XE "</w:instrText>
      </w:r>
      <w:r w:rsidR="00AC6F31" w:rsidRPr="007A463E">
        <w:instrText>Familles de CPE</w:instrText>
      </w:r>
      <w:r w:rsidR="00AC6F31">
        <w:instrText xml:space="preserve">" \i </w:instrText>
      </w:r>
      <w:r w:rsidR="00AC6F31">
        <w:fldChar w:fldCharType="end"/>
      </w:r>
    </w:p>
    <w:p w14:paraId="75B2CBF8" w14:textId="7D47C9BD" w:rsidR="00483FF3" w:rsidRPr="00D92E49" w:rsidRDefault="00483FF3" w:rsidP="00AA6146">
      <w:pPr>
        <w:spacing w:line="240" w:lineRule="auto"/>
        <w:jc w:val="both"/>
        <w:rPr>
          <w:bCs/>
          <w:color w:val="000000" w:themeColor="text1"/>
        </w:rPr>
      </w:pPr>
      <w:r w:rsidRPr="00D92E49">
        <w:rPr>
          <w:bCs/>
          <w:color w:val="000000" w:themeColor="text1"/>
        </w:rPr>
        <w:t xml:space="preserve">Derrière une définition commune, il existe </w:t>
      </w:r>
      <w:r w:rsidR="00AA6146">
        <w:rPr>
          <w:bCs/>
          <w:color w:val="000000" w:themeColor="text1"/>
        </w:rPr>
        <w:t>différentes</w:t>
      </w:r>
      <w:r w:rsidRPr="00D92E49">
        <w:rPr>
          <w:bCs/>
          <w:color w:val="000000" w:themeColor="text1"/>
        </w:rPr>
        <w:t xml:space="preserve"> familles de CPE. Cette variété met à la disposition des acheteurs publics une palette de solutions qu’ils pourront retenir en fonction de l’état du bâtiment ou du parc concerné, de </w:t>
      </w:r>
      <w:r w:rsidR="007954E6">
        <w:rPr>
          <w:bCs/>
          <w:color w:val="000000" w:themeColor="text1"/>
        </w:rPr>
        <w:t xml:space="preserve">leur projet technique, </w:t>
      </w:r>
      <w:r w:rsidRPr="00D92E49">
        <w:rPr>
          <w:bCs/>
          <w:color w:val="000000" w:themeColor="text1"/>
        </w:rPr>
        <w:t>de leurs ressources financières et des temps de retour sur investissement qu’ils attendent, etc.</w:t>
      </w:r>
    </w:p>
    <w:p w14:paraId="4ED9C42A" w14:textId="162D7A80" w:rsidR="004D1329" w:rsidRPr="00C37E9A" w:rsidRDefault="007954E6" w:rsidP="00AA6146">
      <w:pPr>
        <w:spacing w:line="240" w:lineRule="auto"/>
        <w:jc w:val="both"/>
        <w:rPr>
          <w:rFonts w:eastAsia="Calibri"/>
          <w:color w:val="000000" w:themeColor="text1"/>
        </w:rPr>
      </w:pPr>
      <w:r>
        <w:rPr>
          <w:rFonts w:eastAsia="Calibri"/>
          <w:color w:val="000000" w:themeColor="text1"/>
        </w:rPr>
        <w:t>Dans le Clausier CPE FNCCR</w:t>
      </w:r>
      <w:r w:rsidR="004D1329">
        <w:rPr>
          <w:rFonts w:eastAsia="Calibri"/>
          <w:color w:val="000000" w:themeColor="text1"/>
        </w:rPr>
        <w:t>, l</w:t>
      </w:r>
      <w:r>
        <w:rPr>
          <w:rFonts w:eastAsia="Calibri"/>
          <w:color w:val="000000" w:themeColor="text1"/>
        </w:rPr>
        <w:t>’expression</w:t>
      </w:r>
      <w:r w:rsidR="004D1329">
        <w:rPr>
          <w:rFonts w:eastAsia="Calibri"/>
          <w:color w:val="000000" w:themeColor="text1"/>
        </w:rPr>
        <w:t xml:space="preserve"> « </w:t>
      </w:r>
      <w:r w:rsidR="004D1329" w:rsidRPr="00AD4EF2">
        <w:rPr>
          <w:rFonts w:eastAsia="Calibri"/>
          <w:color w:val="000000" w:themeColor="text1"/>
        </w:rPr>
        <w:t>Bouquet d’Amélioration de la Performance</w:t>
      </w:r>
      <w:r w:rsidR="004D1329">
        <w:rPr>
          <w:rFonts w:eastAsia="Calibri"/>
          <w:color w:val="000000" w:themeColor="text1"/>
        </w:rPr>
        <w:t> »</w:t>
      </w:r>
      <w:r w:rsidR="004D1329" w:rsidRPr="00752760">
        <w:rPr>
          <w:rFonts w:eastAsia="Calibri"/>
          <w:color w:val="000000" w:themeColor="text1"/>
        </w:rPr>
        <w:t xml:space="preserve"> </w:t>
      </w:r>
      <w:r w:rsidR="004D1329">
        <w:rPr>
          <w:rFonts w:eastAsia="Calibri"/>
          <w:color w:val="000000" w:themeColor="text1"/>
        </w:rPr>
        <w:t>d</w:t>
      </w:r>
      <w:r w:rsidR="004D1329" w:rsidRPr="00752760">
        <w:rPr>
          <w:rFonts w:eastAsia="Calibri"/>
          <w:color w:val="000000" w:themeColor="text1"/>
        </w:rPr>
        <w:t xml:space="preserve">ésigne l’ensemble des prestations de travaux, fournitures et services </w:t>
      </w:r>
      <w:r w:rsidR="004D1329" w:rsidRPr="00AD4EF2">
        <w:rPr>
          <w:rFonts w:eastAsia="Calibri"/>
          <w:color w:val="000000" w:themeColor="text1"/>
        </w:rPr>
        <w:t>conçus et mis en œuvre par le Titulaire pour atteindre les Objectifs de Performance.</w:t>
      </w:r>
      <w:r w:rsidR="004D1329">
        <w:rPr>
          <w:rFonts w:eastAsia="Calibri"/>
          <w:color w:val="000000" w:themeColor="text1"/>
        </w:rPr>
        <w:t xml:space="preserve"> Les « Actions de Rénovation » d</w:t>
      </w:r>
      <w:r w:rsidR="004D1329" w:rsidRPr="00C730D0">
        <w:rPr>
          <w:rFonts w:eastAsia="Calibri"/>
          <w:color w:val="000000" w:themeColor="text1"/>
        </w:rPr>
        <w:t>ésigne</w:t>
      </w:r>
      <w:r w:rsidR="004D1329">
        <w:rPr>
          <w:rFonts w:eastAsia="Calibri"/>
          <w:color w:val="000000" w:themeColor="text1"/>
        </w:rPr>
        <w:t>nt</w:t>
      </w:r>
      <w:r w:rsidR="004D1329" w:rsidRPr="00C730D0">
        <w:rPr>
          <w:rFonts w:eastAsia="Calibri"/>
          <w:color w:val="000000" w:themeColor="text1"/>
        </w:rPr>
        <w:t>, au sein du Bouquet d’Amélioration de la Performance, l’ensemble des investissements conçus et réalisés par le Titulaire en début de contrat</w:t>
      </w:r>
      <w:r w:rsidR="001C611C">
        <w:rPr>
          <w:rFonts w:eastAsia="Calibri"/>
          <w:color w:val="000000" w:themeColor="text1"/>
        </w:rPr>
        <w:t>, avant les Périodes de Suivi</w:t>
      </w:r>
      <w:r w:rsidR="004D1329" w:rsidRPr="00C730D0">
        <w:rPr>
          <w:rFonts w:eastAsia="Calibri"/>
          <w:color w:val="000000" w:themeColor="text1"/>
        </w:rPr>
        <w:t xml:space="preserve"> : i) des prestations de fourniture et pose des Installations Techniques et/ou ii) des travaux sur le bâti.</w:t>
      </w:r>
    </w:p>
    <w:p w14:paraId="5714D832" w14:textId="77777777" w:rsidR="00063472" w:rsidRDefault="00483FF3" w:rsidP="00AA6146">
      <w:pPr>
        <w:spacing w:line="240" w:lineRule="auto"/>
        <w:jc w:val="both"/>
        <w:rPr>
          <w:bCs/>
          <w:color w:val="000000" w:themeColor="text1"/>
        </w:rPr>
      </w:pPr>
      <w:r w:rsidRPr="00D92E49">
        <w:rPr>
          <w:bCs/>
          <w:color w:val="000000" w:themeColor="text1"/>
        </w:rPr>
        <w:t xml:space="preserve">On distingue habituellement quatre grandes catégories de CPE, en fonction de la nature et du type d’investissements réalisés </w:t>
      </w:r>
      <w:r>
        <w:rPr>
          <w:bCs/>
          <w:color w:val="000000" w:themeColor="text1"/>
        </w:rPr>
        <w:t xml:space="preserve">en début de </w:t>
      </w:r>
      <w:r w:rsidRPr="00D92E49">
        <w:rPr>
          <w:bCs/>
          <w:color w:val="000000" w:themeColor="text1"/>
        </w:rPr>
        <w:t>contrat</w:t>
      </w:r>
      <w:r w:rsidR="00C37E9A">
        <w:rPr>
          <w:bCs/>
          <w:color w:val="000000" w:themeColor="text1"/>
        </w:rPr>
        <w:t>, c’est-à-dire en fonction d</w:t>
      </w:r>
      <w:r>
        <w:rPr>
          <w:bCs/>
          <w:color w:val="000000" w:themeColor="text1"/>
        </w:rPr>
        <w:t>es Actions de Rénovation</w:t>
      </w:r>
      <w:r w:rsidRPr="00D92E49">
        <w:rPr>
          <w:bCs/>
          <w:color w:val="000000" w:themeColor="text1"/>
        </w:rPr>
        <w:t>.</w:t>
      </w:r>
      <w:r w:rsidR="004D1329">
        <w:rPr>
          <w:bCs/>
          <w:color w:val="000000" w:themeColor="text1"/>
        </w:rPr>
        <w:t xml:space="preserve"> </w:t>
      </w:r>
    </w:p>
    <w:p w14:paraId="6747EA1E" w14:textId="36BCAF6C" w:rsidR="00483FF3" w:rsidRPr="00D92E49" w:rsidRDefault="00483FF3" w:rsidP="00AA6146">
      <w:pPr>
        <w:spacing w:line="240" w:lineRule="auto"/>
        <w:jc w:val="both"/>
        <w:rPr>
          <w:bCs/>
          <w:color w:val="000000" w:themeColor="text1"/>
        </w:rPr>
      </w:pPr>
      <w:r w:rsidRPr="00D92E49">
        <w:rPr>
          <w:bCs/>
          <w:color w:val="000000" w:themeColor="text1"/>
        </w:rPr>
        <w:t>Toutes les combinaisons entre les éléments de ces familles sont également possibles et laissées au libre choix de l’acheteur.</w:t>
      </w:r>
      <w:r w:rsidR="00063472">
        <w:rPr>
          <w:bCs/>
          <w:color w:val="000000" w:themeColor="text1"/>
        </w:rPr>
        <w:t xml:space="preserve"> </w:t>
      </w:r>
      <w:r w:rsidR="00063472" w:rsidRPr="00063472">
        <w:rPr>
          <w:bCs/>
          <w:color w:val="000000" w:themeColor="text1"/>
        </w:rPr>
        <w:t xml:space="preserve">La classification retenue est alors fonction </w:t>
      </w:r>
      <w:r w:rsidR="00063472">
        <w:rPr>
          <w:bCs/>
          <w:color w:val="000000" w:themeColor="text1"/>
        </w:rPr>
        <w:t xml:space="preserve">des investissements principaux mis en </w:t>
      </w:r>
      <w:r w:rsidR="002C6FBB">
        <w:rPr>
          <w:bCs/>
          <w:color w:val="000000" w:themeColor="text1"/>
        </w:rPr>
        <w:t>œuvre</w:t>
      </w:r>
      <w:r w:rsidR="00063472" w:rsidRPr="00063472">
        <w:rPr>
          <w:bCs/>
          <w:color w:val="000000" w:themeColor="text1"/>
        </w:rPr>
        <w:t>.</w:t>
      </w:r>
    </w:p>
    <w:p w14:paraId="4CED7902" w14:textId="77777777" w:rsidR="00483FF3" w:rsidRPr="00D92E49" w:rsidRDefault="00483FF3" w:rsidP="00AA6146">
      <w:pPr>
        <w:spacing w:line="240" w:lineRule="auto"/>
        <w:jc w:val="both"/>
        <w:rPr>
          <w:bCs/>
          <w:color w:val="000000" w:themeColor="text1"/>
        </w:rPr>
      </w:pPr>
      <w:r w:rsidRPr="00D92E49">
        <w:rPr>
          <w:bCs/>
          <w:color w:val="000000" w:themeColor="text1"/>
        </w:rPr>
        <w:t>Ces quatre familles, classées par degré croissant d’ambition énergétique et de coût, sont les suivantes :</w:t>
      </w:r>
    </w:p>
    <w:p w14:paraId="4D482215" w14:textId="2939D9E4" w:rsidR="00483FF3" w:rsidRPr="00D92E49" w:rsidRDefault="00483FF3"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Les CPE « Fournitures et Services</w:t>
      </w:r>
      <w:r w:rsidR="00640DE6">
        <w:rPr>
          <w:rFonts w:cstheme="minorHAnsi"/>
          <w:bCs/>
          <w:color w:val="000000" w:themeColor="text1"/>
        </w:rPr>
        <w:fldChar w:fldCharType="begin"/>
      </w:r>
      <w:r w:rsidR="00640DE6">
        <w:instrText xml:space="preserve"> XE "</w:instrText>
      </w:r>
      <w:r w:rsidR="00640DE6" w:rsidRPr="00E70438">
        <w:instrText xml:space="preserve">Familles de CPE:CPE </w:instrText>
      </w:r>
      <w:r w:rsidR="00640DE6">
        <w:rPr>
          <w:rFonts w:eastAsiaTheme="minorEastAsia"/>
          <w:sz w:val="24"/>
          <w:szCs w:val="24"/>
          <w:lang w:eastAsia="fr-FR"/>
        </w:rPr>
        <w:instrText>\</w:instrText>
      </w:r>
      <w:r w:rsidR="00640DE6" w:rsidRPr="00E70438">
        <w:instrText>« Fournitures et Services</w:instrText>
      </w:r>
      <w:r w:rsidR="00640DE6">
        <w:instrText xml:space="preserve">" \i </w:instrText>
      </w:r>
      <w:r w:rsidR="00640DE6">
        <w:rPr>
          <w:rFonts w:cstheme="minorHAnsi"/>
          <w:bCs/>
          <w:color w:val="000000" w:themeColor="text1"/>
        </w:rPr>
        <w:fldChar w:fldCharType="end"/>
      </w:r>
      <w:r w:rsidRPr="00D92E49">
        <w:rPr>
          <w:rFonts w:cstheme="minorHAnsi"/>
          <w:bCs/>
          <w:color w:val="000000" w:themeColor="text1"/>
        </w:rPr>
        <w:t xml:space="preserve"> » qui couvrent deux catégories, selon le type </w:t>
      </w:r>
      <w:r w:rsidR="00A94D0C">
        <w:rPr>
          <w:rFonts w:cstheme="minorHAnsi"/>
          <w:bCs/>
          <w:color w:val="000000" w:themeColor="text1"/>
        </w:rPr>
        <w:t>d’Installations Techniques</w:t>
      </w:r>
      <w:r w:rsidR="00A94D0C" w:rsidRPr="00D92E49">
        <w:rPr>
          <w:rFonts w:cstheme="minorHAnsi"/>
          <w:bCs/>
          <w:color w:val="000000" w:themeColor="text1"/>
        </w:rPr>
        <w:t xml:space="preserve"> </w:t>
      </w:r>
      <w:r w:rsidRPr="00D92E49">
        <w:rPr>
          <w:rFonts w:cstheme="minorHAnsi"/>
          <w:bCs/>
          <w:color w:val="000000" w:themeColor="text1"/>
        </w:rPr>
        <w:t>fournis :</w:t>
      </w:r>
    </w:p>
    <w:p w14:paraId="61962C56" w14:textId="77777777" w:rsidR="007954E6" w:rsidRDefault="00483FF3" w:rsidP="00AA6146">
      <w:pPr>
        <w:pStyle w:val="Paragraphedeliste"/>
        <w:numPr>
          <w:ilvl w:val="0"/>
          <w:numId w:val="5"/>
        </w:numPr>
        <w:spacing w:after="120" w:line="240" w:lineRule="auto"/>
        <w:ind w:left="809"/>
        <w:contextualSpacing w:val="0"/>
        <w:jc w:val="both"/>
        <w:rPr>
          <w:rFonts w:cstheme="minorHAnsi"/>
          <w:bCs/>
          <w:color w:val="000000" w:themeColor="text1"/>
        </w:rPr>
      </w:pPr>
      <w:r w:rsidRPr="00D110E7">
        <w:rPr>
          <w:rFonts w:cstheme="minorHAnsi"/>
          <w:bCs/>
          <w:color w:val="000000" w:themeColor="text1"/>
        </w:rPr>
        <w:t>les CPE fondés sur l’évolution (remplacement, complément, amélioration) des équipements et systèmes de gestion, de régulation et de pilotage énergétiques du bâtiment</w:t>
      </w:r>
      <w:r w:rsidR="00793FC4" w:rsidRPr="00D110E7">
        <w:rPr>
          <w:rFonts w:cstheme="minorHAnsi"/>
          <w:bCs/>
          <w:color w:val="000000" w:themeColor="text1"/>
        </w:rPr>
        <w:t xml:space="preserve"> </w:t>
      </w:r>
      <w:r w:rsidRPr="00D110E7">
        <w:rPr>
          <w:rFonts w:cstheme="minorHAnsi"/>
          <w:bCs/>
          <w:color w:val="000000" w:themeColor="text1"/>
        </w:rPr>
        <w:t xml:space="preserve">; </w:t>
      </w:r>
    </w:p>
    <w:p w14:paraId="63507018" w14:textId="7B8961EC" w:rsidR="00483FF3" w:rsidRPr="00AA6146" w:rsidRDefault="007954E6" w:rsidP="00AA6146">
      <w:pPr>
        <w:spacing w:after="120" w:line="240" w:lineRule="auto"/>
        <w:ind w:left="1416"/>
        <w:jc w:val="both"/>
        <w:rPr>
          <w:rFonts w:cstheme="minorHAnsi"/>
          <w:i/>
          <w:color w:val="000000" w:themeColor="text1"/>
        </w:rPr>
      </w:pPr>
      <w:r w:rsidRPr="00AA6146">
        <w:rPr>
          <w:rFonts w:cstheme="minorHAnsi"/>
          <w:bCs/>
          <w:i/>
          <w:iCs/>
        </w:rPr>
        <w:t xml:space="preserve">NB : </w:t>
      </w:r>
      <w:r w:rsidR="00793FC4" w:rsidRPr="00AA6146">
        <w:rPr>
          <w:rFonts w:cstheme="minorHAnsi"/>
          <w:i/>
        </w:rPr>
        <w:t xml:space="preserve">Ce type de CPE </w:t>
      </w:r>
      <w:r w:rsidRPr="00AA6146">
        <w:rPr>
          <w:rFonts w:cstheme="minorHAnsi"/>
          <w:bCs/>
          <w:i/>
          <w:iCs/>
        </w:rPr>
        <w:t xml:space="preserve">est habituellement considéré comme </w:t>
      </w:r>
      <w:r w:rsidR="00793FC4" w:rsidRPr="00AA6146">
        <w:rPr>
          <w:rFonts w:cstheme="minorHAnsi"/>
          <w:bCs/>
          <w:i/>
          <w:iCs/>
        </w:rPr>
        <w:t>permet</w:t>
      </w:r>
      <w:r w:rsidRPr="00AA6146">
        <w:rPr>
          <w:rFonts w:cstheme="minorHAnsi"/>
          <w:bCs/>
          <w:i/>
          <w:iCs/>
        </w:rPr>
        <w:t>tant</w:t>
      </w:r>
      <w:r w:rsidR="00793FC4" w:rsidRPr="00AA6146">
        <w:rPr>
          <w:rFonts w:cstheme="minorHAnsi"/>
          <w:i/>
        </w:rPr>
        <w:t xml:space="preserve"> de réduire de 5 à 10% les consommations </w:t>
      </w:r>
      <w:r>
        <w:rPr>
          <w:rFonts w:cstheme="minorHAnsi"/>
          <w:bCs/>
          <w:i/>
          <w:iCs/>
        </w:rPr>
        <w:t xml:space="preserve">énergétiques </w:t>
      </w:r>
      <w:r w:rsidR="00793FC4" w:rsidRPr="00AA6146">
        <w:rPr>
          <w:rFonts w:cstheme="minorHAnsi"/>
          <w:i/>
        </w:rPr>
        <w:t>du bâtiment, pour un investissement initial relativement faible</w:t>
      </w:r>
      <w:r w:rsidRPr="00AA6146">
        <w:rPr>
          <w:rFonts w:cstheme="minorHAnsi"/>
          <w:bCs/>
          <w:i/>
          <w:iCs/>
        </w:rPr>
        <w:t> ; l</w:t>
      </w:r>
      <w:r w:rsidR="00793FC4" w:rsidRPr="00AA6146">
        <w:rPr>
          <w:rFonts w:cstheme="minorHAnsi"/>
          <w:i/>
        </w:rPr>
        <w:t xml:space="preserve">e temps de retour est de ces investissements </w:t>
      </w:r>
      <w:r w:rsidRPr="00AA6146">
        <w:rPr>
          <w:rFonts w:cstheme="minorHAnsi"/>
          <w:bCs/>
          <w:i/>
          <w:iCs/>
        </w:rPr>
        <w:t xml:space="preserve">estimé dans une fourchette de </w:t>
      </w:r>
      <w:r w:rsidR="00793FC4" w:rsidRPr="00AA6146">
        <w:rPr>
          <w:rFonts w:cstheme="minorHAnsi"/>
          <w:bCs/>
          <w:i/>
          <w:iCs/>
        </w:rPr>
        <w:t>1 à 5</w:t>
      </w:r>
      <w:r w:rsidR="00DE7478" w:rsidRPr="00AA6146">
        <w:rPr>
          <w:rFonts w:cstheme="minorHAnsi"/>
          <w:bCs/>
          <w:i/>
          <w:iCs/>
        </w:rPr>
        <w:t xml:space="preserve"> </w:t>
      </w:r>
      <w:r w:rsidR="00793FC4" w:rsidRPr="00AA6146">
        <w:rPr>
          <w:rFonts w:cstheme="minorHAnsi"/>
          <w:bCs/>
          <w:i/>
          <w:iCs/>
        </w:rPr>
        <w:t>ans)</w:t>
      </w:r>
      <w:r w:rsidRPr="00AA6146">
        <w:rPr>
          <w:rFonts w:cstheme="minorHAnsi"/>
          <w:bCs/>
          <w:i/>
          <w:iCs/>
        </w:rPr>
        <w:t> ;</w:t>
      </w:r>
    </w:p>
    <w:p w14:paraId="387DE00F" w14:textId="77777777" w:rsidR="007954E6" w:rsidRDefault="00483FF3" w:rsidP="00AA6146">
      <w:pPr>
        <w:pStyle w:val="Paragraphedeliste"/>
        <w:numPr>
          <w:ilvl w:val="0"/>
          <w:numId w:val="5"/>
        </w:numPr>
        <w:spacing w:after="120" w:line="240" w:lineRule="auto"/>
        <w:ind w:left="809"/>
        <w:contextualSpacing w:val="0"/>
        <w:jc w:val="both"/>
        <w:rPr>
          <w:rFonts w:cstheme="minorHAnsi"/>
          <w:color w:val="000000" w:themeColor="text1"/>
        </w:rPr>
      </w:pPr>
      <w:r w:rsidRPr="00D110E7">
        <w:rPr>
          <w:rFonts w:cstheme="minorHAnsi"/>
          <w:bCs/>
          <w:color w:val="000000" w:themeColor="text1"/>
        </w:rPr>
        <w:t>les CPE fondés sur l’évolution (remplacement, complément, amélioration) des équipements et systèmes de production, de distribution, de diffusion</w:t>
      </w:r>
      <w:r w:rsidRPr="00D110E7">
        <w:rPr>
          <w:rFonts w:cstheme="minorHAnsi"/>
          <w:color w:val="000000" w:themeColor="text1"/>
        </w:rPr>
        <w:t xml:space="preserve"> ou </w:t>
      </w:r>
      <w:r w:rsidRPr="00D110E7">
        <w:rPr>
          <w:rFonts w:cstheme="minorHAnsi"/>
          <w:bCs/>
          <w:color w:val="000000" w:themeColor="text1"/>
        </w:rPr>
        <w:t>d’équipements consommateurs d’énergie</w:t>
      </w:r>
      <w:r w:rsidRPr="00D110E7">
        <w:rPr>
          <w:rFonts w:cstheme="minorHAnsi"/>
          <w:color w:val="000000" w:themeColor="text1"/>
        </w:rPr>
        <w:t xml:space="preserve"> dans le bâtiment ; </w:t>
      </w:r>
    </w:p>
    <w:p w14:paraId="1FE93B36" w14:textId="536A3B9B" w:rsidR="00483FF3" w:rsidRPr="00AA6146" w:rsidRDefault="007954E6" w:rsidP="00AA6146">
      <w:pPr>
        <w:pStyle w:val="Paragraphedeliste"/>
        <w:spacing w:after="120" w:line="240" w:lineRule="auto"/>
        <w:ind w:left="1416"/>
        <w:contextualSpacing w:val="0"/>
        <w:jc w:val="both"/>
        <w:rPr>
          <w:rFonts w:cstheme="minorHAnsi"/>
          <w:i/>
          <w:color w:val="000000" w:themeColor="text1"/>
        </w:rPr>
      </w:pPr>
      <w:r w:rsidRPr="00AA6146">
        <w:rPr>
          <w:rFonts w:cstheme="minorHAnsi"/>
          <w:i/>
          <w:iCs/>
          <w:color w:val="000000" w:themeColor="text1"/>
        </w:rPr>
        <w:t xml:space="preserve">NB : </w:t>
      </w:r>
      <w:r w:rsidR="00D110E7" w:rsidRPr="00AA6146">
        <w:rPr>
          <w:rFonts w:cstheme="minorHAnsi"/>
          <w:i/>
        </w:rPr>
        <w:t xml:space="preserve">Ce type de CPE </w:t>
      </w:r>
      <w:r w:rsidRPr="0018793A">
        <w:rPr>
          <w:rFonts w:cstheme="minorHAnsi"/>
          <w:bCs/>
          <w:i/>
          <w:iCs/>
        </w:rPr>
        <w:t xml:space="preserve">est habituellement considéré comme permettant </w:t>
      </w:r>
      <w:r>
        <w:rPr>
          <w:rFonts w:cstheme="minorHAnsi"/>
          <w:bCs/>
          <w:i/>
          <w:iCs/>
        </w:rPr>
        <w:t>de réduire</w:t>
      </w:r>
      <w:r w:rsidR="00D110E7" w:rsidRPr="00AA6146">
        <w:rPr>
          <w:rFonts w:cstheme="minorHAnsi"/>
          <w:i/>
        </w:rPr>
        <w:t xml:space="preserve"> de 10 à 20% </w:t>
      </w:r>
      <w:r w:rsidRPr="0018793A">
        <w:rPr>
          <w:rFonts w:cstheme="minorHAnsi"/>
          <w:bCs/>
          <w:i/>
          <w:iCs/>
        </w:rPr>
        <w:t xml:space="preserve">les consommations </w:t>
      </w:r>
      <w:r>
        <w:rPr>
          <w:rFonts w:cstheme="minorHAnsi"/>
          <w:bCs/>
          <w:i/>
          <w:iCs/>
        </w:rPr>
        <w:t xml:space="preserve">énergétiques </w:t>
      </w:r>
      <w:r w:rsidRPr="0018793A">
        <w:rPr>
          <w:rFonts w:cstheme="minorHAnsi"/>
          <w:bCs/>
          <w:i/>
          <w:iCs/>
        </w:rPr>
        <w:t>du bâtiment</w:t>
      </w:r>
      <w:r w:rsidRPr="007954E6" w:rsidDel="007954E6">
        <w:rPr>
          <w:rFonts w:cstheme="minorHAnsi"/>
          <w:bCs/>
          <w:i/>
          <w:iCs/>
        </w:rPr>
        <w:t xml:space="preserve"> </w:t>
      </w:r>
      <w:r w:rsidR="00D110E7" w:rsidRPr="00064B1F">
        <w:rPr>
          <w:rFonts w:cstheme="minorHAnsi"/>
          <w:i/>
        </w:rPr>
        <w:t xml:space="preserve">pour un temps de retour </w:t>
      </w:r>
      <w:r>
        <w:rPr>
          <w:rFonts w:cstheme="minorHAnsi"/>
          <w:bCs/>
          <w:i/>
          <w:iCs/>
        </w:rPr>
        <w:t>estimé</w:t>
      </w:r>
      <w:r w:rsidR="00D110E7" w:rsidRPr="00AA6146">
        <w:rPr>
          <w:rFonts w:cstheme="minorHAnsi"/>
          <w:i/>
        </w:rPr>
        <w:t xml:space="preserve"> entre 10 et 12</w:t>
      </w:r>
      <w:r w:rsidR="004501C2" w:rsidRPr="00AA6146">
        <w:rPr>
          <w:rFonts w:cstheme="minorHAnsi"/>
          <w:i/>
        </w:rPr>
        <w:t xml:space="preserve"> </w:t>
      </w:r>
      <w:r w:rsidR="00D110E7" w:rsidRPr="00AA6146">
        <w:rPr>
          <w:rFonts w:cstheme="minorHAnsi"/>
          <w:i/>
        </w:rPr>
        <w:t>ans</w:t>
      </w:r>
      <w:r>
        <w:rPr>
          <w:rFonts w:cstheme="minorHAnsi"/>
          <w:bCs/>
          <w:i/>
          <w:iCs/>
        </w:rPr>
        <w:t> ;</w:t>
      </w:r>
    </w:p>
    <w:p w14:paraId="564A6FCA" w14:textId="4367D71D" w:rsidR="007954E6" w:rsidRPr="00AA6146" w:rsidRDefault="00483FF3"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les CPE « Travaux et Services »</w:t>
      </w:r>
      <w:r w:rsidR="00815E4F">
        <w:rPr>
          <w:rFonts w:cstheme="minorHAnsi"/>
          <w:bCs/>
          <w:color w:val="000000" w:themeColor="text1"/>
        </w:rPr>
        <w:fldChar w:fldCharType="begin"/>
      </w:r>
      <w:r w:rsidR="00815E4F">
        <w:instrText xml:space="preserve"> XE "</w:instrText>
      </w:r>
      <w:r w:rsidR="00815E4F" w:rsidRPr="00AA7685">
        <w:instrText xml:space="preserve">Familles de CPE:CPE </w:instrText>
      </w:r>
      <w:r w:rsidR="00815E4F">
        <w:rPr>
          <w:rFonts w:eastAsiaTheme="minorEastAsia"/>
          <w:sz w:val="24"/>
          <w:szCs w:val="24"/>
          <w:lang w:eastAsia="fr-FR"/>
        </w:rPr>
        <w:instrText>\</w:instrText>
      </w:r>
      <w:r w:rsidR="00815E4F" w:rsidRPr="00AA7685">
        <w:instrText xml:space="preserve">« Travaux et Services </w:instrText>
      </w:r>
      <w:r w:rsidR="00815E4F">
        <w:rPr>
          <w:rFonts w:eastAsiaTheme="minorEastAsia"/>
          <w:sz w:val="24"/>
          <w:szCs w:val="24"/>
          <w:lang w:eastAsia="fr-FR"/>
        </w:rPr>
        <w:instrText>\</w:instrText>
      </w:r>
      <w:r w:rsidR="00815E4F" w:rsidRPr="00AA7685">
        <w:instrText>»</w:instrText>
      </w:r>
      <w:r w:rsidR="00815E4F">
        <w:instrText xml:space="preserve">" \i </w:instrText>
      </w:r>
      <w:r w:rsidR="00815E4F">
        <w:rPr>
          <w:rFonts w:cstheme="minorHAnsi"/>
          <w:bCs/>
          <w:color w:val="000000" w:themeColor="text1"/>
        </w:rPr>
        <w:fldChar w:fldCharType="end"/>
      </w:r>
      <w:r w:rsidRPr="00D92E49">
        <w:rPr>
          <w:rFonts w:cstheme="minorHAnsi"/>
          <w:bCs/>
          <w:color w:val="000000" w:themeColor="text1"/>
        </w:rPr>
        <w:t xml:space="preserve"> mettant en œuvre des travaux sur l’enveloppe même du bâtiment ;</w:t>
      </w:r>
      <w:r w:rsidR="004501C2">
        <w:rPr>
          <w:rFonts w:cstheme="minorHAnsi"/>
          <w:bCs/>
          <w:color w:val="000000" w:themeColor="text1"/>
        </w:rPr>
        <w:t xml:space="preserve"> </w:t>
      </w:r>
      <w:r w:rsidR="004501C2">
        <w:rPr>
          <w:rFonts w:cstheme="minorHAnsi"/>
          <w:bCs/>
        </w:rPr>
        <w:t xml:space="preserve">Cette famille regroupe les contrats qui visent principalement les travaux sur le bâti (ex : étanchéité du bâtiment). </w:t>
      </w:r>
    </w:p>
    <w:p w14:paraId="51914F12" w14:textId="57C015D4" w:rsidR="00483FF3" w:rsidRPr="000F5798" w:rsidRDefault="007954E6" w:rsidP="000F5798">
      <w:pPr>
        <w:pStyle w:val="Paragraphedeliste"/>
        <w:spacing w:after="120" w:line="240" w:lineRule="auto"/>
        <w:ind w:left="1416"/>
        <w:contextualSpacing w:val="0"/>
        <w:jc w:val="both"/>
        <w:rPr>
          <w:rFonts w:cstheme="minorHAnsi"/>
          <w:i/>
          <w:iCs/>
          <w:color w:val="000000" w:themeColor="text1"/>
        </w:rPr>
      </w:pPr>
      <w:r w:rsidRPr="000F5798">
        <w:rPr>
          <w:rFonts w:cstheme="minorHAnsi"/>
          <w:i/>
          <w:iCs/>
          <w:color w:val="000000" w:themeColor="text1"/>
        </w:rPr>
        <w:t xml:space="preserve">NB : Ce type de CPE est habituellement considéré comme permettant de réduire les consommations énergétiques du bâtiment de 20% au moins, pour un temps de retour de </w:t>
      </w:r>
      <w:r w:rsidR="004501C2" w:rsidRPr="00064B1F">
        <w:rPr>
          <w:rFonts w:cstheme="minorHAnsi"/>
          <w:i/>
          <w:iCs/>
          <w:color w:val="000000" w:themeColor="text1"/>
        </w:rPr>
        <w:t>plus de 15</w:t>
      </w:r>
      <w:r w:rsidRPr="00064B1F">
        <w:rPr>
          <w:rFonts w:cstheme="minorHAnsi"/>
          <w:i/>
          <w:iCs/>
          <w:color w:val="000000" w:themeColor="text1"/>
        </w:rPr>
        <w:t xml:space="preserve"> </w:t>
      </w:r>
      <w:r w:rsidR="004501C2" w:rsidRPr="00064B1F">
        <w:rPr>
          <w:rFonts w:cstheme="minorHAnsi"/>
          <w:i/>
          <w:iCs/>
          <w:color w:val="000000" w:themeColor="text1"/>
        </w:rPr>
        <w:t xml:space="preserve">ans. Compte tenu du coût des travaux, ces contrats ne peuvent </w:t>
      </w:r>
      <w:r w:rsidRPr="00064B1F">
        <w:rPr>
          <w:rFonts w:cstheme="minorHAnsi"/>
          <w:i/>
          <w:iCs/>
          <w:color w:val="000000" w:themeColor="text1"/>
        </w:rPr>
        <w:t xml:space="preserve">habituellement pas </w:t>
      </w:r>
      <w:r w:rsidR="004501C2" w:rsidRPr="00064B1F">
        <w:rPr>
          <w:rFonts w:cstheme="minorHAnsi"/>
          <w:i/>
          <w:iCs/>
          <w:color w:val="000000" w:themeColor="text1"/>
        </w:rPr>
        <w:t xml:space="preserve">être financés uniquement </w:t>
      </w:r>
      <w:r w:rsidRPr="00064B1F">
        <w:rPr>
          <w:rFonts w:cstheme="minorHAnsi"/>
          <w:i/>
          <w:iCs/>
          <w:color w:val="000000" w:themeColor="text1"/>
        </w:rPr>
        <w:t>par</w:t>
      </w:r>
      <w:r w:rsidR="004501C2" w:rsidRPr="00064B1F">
        <w:rPr>
          <w:rFonts w:cstheme="minorHAnsi"/>
          <w:i/>
          <w:iCs/>
          <w:color w:val="000000" w:themeColor="text1"/>
        </w:rPr>
        <w:t xml:space="preserve"> </w:t>
      </w:r>
      <w:r w:rsidRPr="00064B1F">
        <w:rPr>
          <w:rFonts w:cstheme="minorHAnsi"/>
          <w:i/>
          <w:iCs/>
          <w:color w:val="000000" w:themeColor="text1"/>
        </w:rPr>
        <w:t>l</w:t>
      </w:r>
      <w:r w:rsidR="004501C2" w:rsidRPr="00064B1F">
        <w:rPr>
          <w:rFonts w:cstheme="minorHAnsi"/>
          <w:i/>
          <w:iCs/>
          <w:color w:val="000000" w:themeColor="text1"/>
        </w:rPr>
        <w:t>es économies d’énergie réalisées.</w:t>
      </w:r>
    </w:p>
    <w:p w14:paraId="015CD8D2" w14:textId="7F123E34" w:rsidR="007954E6" w:rsidRPr="00AA6146" w:rsidRDefault="00483FF3" w:rsidP="00AA6146">
      <w:pPr>
        <w:pStyle w:val="Paragraphedeliste"/>
        <w:numPr>
          <w:ilvl w:val="0"/>
          <w:numId w:val="4"/>
        </w:numPr>
        <w:spacing w:after="120" w:line="240" w:lineRule="auto"/>
        <w:contextualSpacing w:val="0"/>
        <w:jc w:val="both"/>
        <w:rPr>
          <w:rFonts w:cstheme="minorHAnsi"/>
          <w:bCs/>
          <w:color w:val="000000" w:themeColor="text1"/>
        </w:rPr>
      </w:pPr>
      <w:r w:rsidRPr="007954E6">
        <w:rPr>
          <w:rFonts w:cstheme="minorHAnsi"/>
          <w:bCs/>
          <w:color w:val="000000" w:themeColor="text1"/>
        </w:rPr>
        <w:t>les CPE « Globaux »</w:t>
      </w:r>
      <w:r w:rsidR="00682397" w:rsidRPr="00AA6146">
        <w:rPr>
          <w:rFonts w:cstheme="minorHAnsi"/>
          <w:bCs/>
          <w:color w:val="000000" w:themeColor="text1"/>
        </w:rPr>
        <w:fldChar w:fldCharType="begin"/>
      </w:r>
      <w:r w:rsidR="00682397">
        <w:instrText xml:space="preserve"> XE "</w:instrText>
      </w:r>
      <w:r w:rsidR="00682397" w:rsidRPr="00CA1B37">
        <w:instrText xml:space="preserve">Familles de CPE:CPE </w:instrText>
      </w:r>
      <w:r w:rsidR="00682397" w:rsidRPr="007954E6">
        <w:rPr>
          <w:rFonts w:eastAsiaTheme="minorEastAsia"/>
          <w:sz w:val="24"/>
          <w:szCs w:val="24"/>
          <w:lang w:eastAsia="fr-FR"/>
        </w:rPr>
        <w:instrText>\</w:instrText>
      </w:r>
      <w:r w:rsidR="00682397" w:rsidRPr="00CA1B37">
        <w:instrText xml:space="preserve">« Globaux </w:instrText>
      </w:r>
      <w:r w:rsidR="00682397" w:rsidRPr="007954E6">
        <w:rPr>
          <w:rFonts w:eastAsiaTheme="minorEastAsia"/>
          <w:sz w:val="24"/>
          <w:szCs w:val="24"/>
          <w:lang w:eastAsia="fr-FR"/>
        </w:rPr>
        <w:instrText>\</w:instrText>
      </w:r>
      <w:r w:rsidR="00682397" w:rsidRPr="00CA1B37">
        <w:instrText>»</w:instrText>
      </w:r>
      <w:r w:rsidR="00682397">
        <w:instrText xml:space="preserve">" \i </w:instrText>
      </w:r>
      <w:r w:rsidR="00682397" w:rsidRPr="00AA6146">
        <w:rPr>
          <w:rFonts w:cstheme="minorHAnsi"/>
          <w:bCs/>
          <w:color w:val="000000" w:themeColor="text1"/>
        </w:rPr>
        <w:fldChar w:fldCharType="end"/>
      </w:r>
      <w:r w:rsidRPr="007954E6">
        <w:rPr>
          <w:rFonts w:cstheme="minorHAnsi"/>
          <w:bCs/>
          <w:color w:val="000000" w:themeColor="text1"/>
        </w:rPr>
        <w:t xml:space="preserve"> combinant l’ensemble des solutions précédentes</w:t>
      </w:r>
      <w:r w:rsidR="007954E6" w:rsidRPr="007954E6">
        <w:rPr>
          <w:rFonts w:cstheme="minorHAnsi"/>
          <w:bCs/>
          <w:color w:val="000000" w:themeColor="text1"/>
        </w:rPr>
        <w:t>. C</w:t>
      </w:r>
      <w:r w:rsidR="004501C2" w:rsidRPr="007954E6">
        <w:rPr>
          <w:rFonts w:cstheme="minorHAnsi"/>
          <w:bCs/>
          <w:color w:val="000000" w:themeColor="text1"/>
        </w:rPr>
        <w:t xml:space="preserve">ette famille </w:t>
      </w:r>
      <w:r w:rsidR="004501C2" w:rsidRPr="007954E6">
        <w:rPr>
          <w:rFonts w:cstheme="minorHAnsi"/>
          <w:bCs/>
        </w:rPr>
        <w:t xml:space="preserve">fait appel à des compétences transversales ainsi qu’à l’ensemble des solutions de rénovation énergétique des différents CPE précités. Généralement, les entreprises doivent s’organiser en groupements pour porter ce type de CPE. </w:t>
      </w:r>
    </w:p>
    <w:p w14:paraId="05AAB31B" w14:textId="79E94913" w:rsidR="00483FF3" w:rsidRPr="00D92E49" w:rsidRDefault="00483FF3" w:rsidP="00AA6146">
      <w:pPr>
        <w:spacing w:after="120" w:line="240" w:lineRule="auto"/>
        <w:jc w:val="both"/>
        <w:rPr>
          <w:rFonts w:cstheme="minorHAnsi"/>
          <w:bCs/>
          <w:color w:val="000000" w:themeColor="text1"/>
        </w:rPr>
      </w:pPr>
      <w:r w:rsidRPr="00D92E49">
        <w:rPr>
          <w:rFonts w:cstheme="minorHAnsi"/>
          <w:color w:val="000000" w:themeColor="text1"/>
        </w:rPr>
        <w:lastRenderedPageBreak/>
        <w:t xml:space="preserve">En toute hypothèse, </w:t>
      </w:r>
      <w:r>
        <w:rPr>
          <w:rFonts w:cstheme="minorHAnsi"/>
          <w:bCs/>
          <w:color w:val="000000" w:themeColor="text1"/>
        </w:rPr>
        <w:t>chaque famille de CPE</w:t>
      </w:r>
      <w:r w:rsidRPr="00D92E49">
        <w:rPr>
          <w:rFonts w:cstheme="minorHAnsi"/>
          <w:bCs/>
          <w:color w:val="000000" w:themeColor="text1"/>
        </w:rPr>
        <w:t xml:space="preserve"> confie</w:t>
      </w:r>
      <w:r>
        <w:rPr>
          <w:rFonts w:cstheme="minorHAnsi"/>
          <w:bCs/>
          <w:color w:val="000000" w:themeColor="text1"/>
        </w:rPr>
        <w:t xml:space="preserve"> </w:t>
      </w:r>
      <w:r w:rsidRPr="00F671BD">
        <w:rPr>
          <w:rFonts w:cstheme="minorHAnsi"/>
          <w:b/>
          <w:color w:val="000000" w:themeColor="text1"/>
        </w:rPr>
        <w:t>nécessairement</w:t>
      </w:r>
      <w:r w:rsidRPr="00D92E49">
        <w:rPr>
          <w:rFonts w:cstheme="minorHAnsi"/>
          <w:bCs/>
          <w:color w:val="000000" w:themeColor="text1"/>
        </w:rPr>
        <w:t xml:space="preserve"> au Titulaire : </w:t>
      </w:r>
    </w:p>
    <w:p w14:paraId="00A5D6D9" w14:textId="048394CD" w:rsidR="00483FF3" w:rsidRPr="00D92E49" w:rsidRDefault="00483FF3"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 xml:space="preserve">La conception </w:t>
      </w:r>
      <w:r w:rsidRPr="00D92E49">
        <w:rPr>
          <w:rFonts w:eastAsia="Calibri" w:cstheme="minorHAnsi"/>
          <w:color w:val="000000" w:themeColor="text1"/>
        </w:rPr>
        <w:t xml:space="preserve">du Bouquet </w:t>
      </w:r>
      <w:r w:rsidRPr="00D92E49">
        <w:rPr>
          <w:rFonts w:cstheme="minorHAnsi"/>
          <w:bCs/>
          <w:color w:val="000000" w:themeColor="text1"/>
        </w:rPr>
        <w:t>d’amélioration de la performance énergétique (études techniques permettant d’élaborer le</w:t>
      </w:r>
      <w:r w:rsidRPr="00D92E49">
        <w:rPr>
          <w:rFonts w:eastAsia="Calibri" w:cstheme="minorHAnsi"/>
          <w:color w:val="000000" w:themeColor="text1"/>
        </w:rPr>
        <w:t xml:space="preserve"> Bouquet </w:t>
      </w:r>
      <w:r w:rsidRPr="00D92E49">
        <w:rPr>
          <w:rFonts w:cstheme="minorHAnsi"/>
          <w:bCs/>
          <w:color w:val="000000" w:themeColor="text1"/>
        </w:rPr>
        <w:t>d’Amélioration de la Performance Énergétique</w:t>
      </w:r>
      <w:r>
        <w:rPr>
          <w:rFonts w:cstheme="minorHAnsi"/>
          <w:bCs/>
          <w:color w:val="000000" w:themeColor="text1"/>
        </w:rPr>
        <w:t xml:space="preserve"> et mission de maîtrise d’œuvre le cas échéant</w:t>
      </w:r>
      <w:r w:rsidRPr="00D92E49">
        <w:rPr>
          <w:rFonts w:cstheme="minorHAnsi"/>
          <w:bCs/>
          <w:color w:val="000000" w:themeColor="text1"/>
        </w:rPr>
        <w:t>)</w:t>
      </w:r>
      <w:r>
        <w:rPr>
          <w:rFonts w:cstheme="minorHAnsi"/>
          <w:bCs/>
          <w:color w:val="000000" w:themeColor="text1"/>
        </w:rPr>
        <w:t>. Par exception, certains CPE ne confient pas de mission de conception au Titulaire</w:t>
      </w:r>
      <w:r w:rsidR="007954E6">
        <w:rPr>
          <w:rFonts w:cstheme="minorHAnsi"/>
          <w:bCs/>
          <w:color w:val="000000" w:themeColor="text1"/>
        </w:rPr>
        <w:t> ;</w:t>
      </w:r>
    </w:p>
    <w:p w14:paraId="752FF39C" w14:textId="77777777" w:rsidR="00483FF3" w:rsidRDefault="00483FF3" w:rsidP="00AA6146">
      <w:pPr>
        <w:pStyle w:val="Paragraphedeliste"/>
        <w:numPr>
          <w:ilvl w:val="0"/>
          <w:numId w:val="4"/>
        </w:numPr>
        <w:spacing w:after="120" w:line="240" w:lineRule="auto"/>
        <w:contextualSpacing w:val="0"/>
        <w:jc w:val="both"/>
        <w:rPr>
          <w:rFonts w:cstheme="minorHAnsi"/>
          <w:bCs/>
          <w:color w:val="000000" w:themeColor="text1"/>
        </w:rPr>
      </w:pPr>
      <w:r>
        <w:rPr>
          <w:rFonts w:cstheme="minorHAnsi"/>
          <w:bCs/>
          <w:color w:val="000000" w:themeColor="text1"/>
        </w:rPr>
        <w:t>L</w:t>
      </w:r>
      <w:r w:rsidRPr="00D92E49">
        <w:rPr>
          <w:rFonts w:cstheme="minorHAnsi"/>
          <w:bCs/>
          <w:color w:val="000000" w:themeColor="text1"/>
        </w:rPr>
        <w:t>’exploitation, la maintenance et le gros entretien et renouvellement pendant la durée du contrat</w:t>
      </w:r>
      <w:r>
        <w:rPr>
          <w:rFonts w:cstheme="minorHAnsi"/>
          <w:bCs/>
          <w:color w:val="000000" w:themeColor="text1"/>
        </w:rPr>
        <w:t> ;</w:t>
      </w:r>
    </w:p>
    <w:p w14:paraId="4BA18B07" w14:textId="77777777" w:rsidR="00483FF3" w:rsidRPr="00D92E49" w:rsidRDefault="00483FF3" w:rsidP="00AA6146">
      <w:pPr>
        <w:pStyle w:val="Paragraphedeliste"/>
        <w:numPr>
          <w:ilvl w:val="0"/>
          <w:numId w:val="4"/>
        </w:numPr>
        <w:spacing w:after="120" w:line="240" w:lineRule="auto"/>
        <w:contextualSpacing w:val="0"/>
        <w:jc w:val="both"/>
        <w:rPr>
          <w:rFonts w:cstheme="minorHAnsi"/>
          <w:bCs/>
          <w:color w:val="000000" w:themeColor="text1"/>
        </w:rPr>
      </w:pPr>
      <w:r w:rsidRPr="0029021B">
        <w:rPr>
          <w:rFonts w:cstheme="minorHAnsi"/>
          <w:bCs/>
          <w:color w:val="000000" w:themeColor="text1"/>
        </w:rPr>
        <w:t>Le suivi et le pilotage de l’amélioration de la Performance Énergétique des Bâtiments, notamment en s’appuyant notamment sur la mise en œuvre d’un Plan de Mesures et de Vérifications</w:t>
      </w:r>
      <w:r>
        <w:rPr>
          <w:rFonts w:cstheme="minorHAnsi"/>
          <w:bCs/>
          <w:color w:val="000000" w:themeColor="text1"/>
        </w:rPr>
        <w:t xml:space="preserve"> ; </w:t>
      </w:r>
    </w:p>
    <w:p w14:paraId="0F5F6B61" w14:textId="77777777" w:rsidR="00483FF3" w:rsidRPr="00D92E49" w:rsidRDefault="00483FF3" w:rsidP="00AA6146">
      <w:pPr>
        <w:pStyle w:val="Paragraphedeliste"/>
        <w:numPr>
          <w:ilvl w:val="0"/>
          <w:numId w:val="4"/>
        </w:numPr>
        <w:spacing w:after="120" w:line="240" w:lineRule="auto"/>
        <w:contextualSpacing w:val="0"/>
        <w:jc w:val="both"/>
        <w:rPr>
          <w:rFonts w:cstheme="minorHAnsi"/>
          <w:bCs/>
          <w:color w:val="000000" w:themeColor="text1"/>
        </w:rPr>
      </w:pPr>
      <w:r>
        <w:rPr>
          <w:rFonts w:cstheme="minorHAnsi"/>
          <w:bCs/>
          <w:color w:val="000000" w:themeColor="text1"/>
        </w:rPr>
        <w:t>U</w:t>
      </w:r>
      <w:r w:rsidRPr="00D92E49">
        <w:rPr>
          <w:rFonts w:cstheme="minorHAnsi"/>
          <w:bCs/>
          <w:color w:val="000000" w:themeColor="text1"/>
        </w:rPr>
        <w:t>ne dimension comportementale de sensibilisation des usagers et de formation des agents techniques à une utilisation éco-responsable du bâtiment.</w:t>
      </w:r>
      <w:r>
        <w:rPr>
          <w:rFonts w:cstheme="minorHAnsi"/>
          <w:bCs/>
          <w:color w:val="000000" w:themeColor="text1"/>
        </w:rPr>
        <w:t xml:space="preserve"> Par exception, certains CPE ne confient pas de mission de sensibilisation et de formation au Titulaire.</w:t>
      </w:r>
    </w:p>
    <w:p w14:paraId="5AA727ED" w14:textId="19EDC23C" w:rsidR="00483FF3" w:rsidRDefault="00483FF3" w:rsidP="00AA6146">
      <w:pPr>
        <w:spacing w:line="240" w:lineRule="auto"/>
        <w:jc w:val="both"/>
        <w:rPr>
          <w:bCs/>
          <w:color w:val="000000" w:themeColor="text1"/>
        </w:rPr>
      </w:pPr>
      <w:r w:rsidRPr="00D92E49">
        <w:rPr>
          <w:bCs/>
          <w:color w:val="000000" w:themeColor="text1"/>
        </w:rPr>
        <w:t xml:space="preserve">Selon le </w:t>
      </w:r>
      <w:r w:rsidR="00AC5491">
        <w:rPr>
          <w:bCs/>
          <w:color w:val="000000" w:themeColor="text1"/>
        </w:rPr>
        <w:t>C</w:t>
      </w:r>
      <w:r w:rsidR="00682397" w:rsidRPr="00D92E49">
        <w:rPr>
          <w:bCs/>
          <w:color w:val="000000" w:themeColor="text1"/>
        </w:rPr>
        <w:t>ode</w:t>
      </w:r>
      <w:r w:rsidRPr="00D92E49">
        <w:rPr>
          <w:bCs/>
          <w:color w:val="000000" w:themeColor="text1"/>
        </w:rPr>
        <w:t xml:space="preserve"> de la </w:t>
      </w:r>
      <w:r w:rsidR="00682397" w:rsidRPr="00D92E49">
        <w:rPr>
          <w:bCs/>
          <w:color w:val="000000" w:themeColor="text1"/>
        </w:rPr>
        <w:t>commande</w:t>
      </w:r>
      <w:r w:rsidRPr="00D92E49">
        <w:rPr>
          <w:bCs/>
          <w:color w:val="000000" w:themeColor="text1"/>
        </w:rPr>
        <w:t xml:space="preserve"> publique (Ar</w:t>
      </w:r>
      <w:r w:rsidR="00396FAA">
        <w:rPr>
          <w:bCs/>
          <w:color w:val="000000" w:themeColor="text1"/>
        </w:rPr>
        <w:t>t.</w:t>
      </w:r>
      <w:r w:rsidRPr="00D92E49">
        <w:rPr>
          <w:bCs/>
          <w:color w:val="000000" w:themeColor="text1"/>
        </w:rPr>
        <w:t xml:space="preserve"> L.1111-5), les CPE constitue</w:t>
      </w:r>
      <w:r w:rsidR="004D1329">
        <w:rPr>
          <w:bCs/>
          <w:color w:val="000000" w:themeColor="text1"/>
        </w:rPr>
        <w:t>nt donc</w:t>
      </w:r>
      <w:r w:rsidRPr="00D92E49">
        <w:rPr>
          <w:bCs/>
          <w:color w:val="000000" w:themeColor="text1"/>
        </w:rPr>
        <w:t xml:space="preserve"> des marchés publics à objet « mixte » (</w:t>
      </w:r>
      <w:r>
        <w:rPr>
          <w:bCs/>
          <w:color w:val="000000" w:themeColor="text1"/>
        </w:rPr>
        <w:t>services, fournitures et/ou travaux</w:t>
      </w:r>
      <w:r w:rsidRPr="00D92E49">
        <w:rPr>
          <w:bCs/>
          <w:color w:val="000000" w:themeColor="text1"/>
        </w:rPr>
        <w:t>).</w:t>
      </w:r>
    </w:p>
    <w:p w14:paraId="59B39812" w14:textId="3717D521" w:rsidR="00483FF3" w:rsidRDefault="00483FF3" w:rsidP="00AA6146">
      <w:pPr>
        <w:spacing w:line="240" w:lineRule="auto"/>
        <w:jc w:val="both"/>
        <w:rPr>
          <w:bCs/>
          <w:color w:val="000000" w:themeColor="text1"/>
        </w:rPr>
      </w:pPr>
      <w:r w:rsidRPr="00CB79A3">
        <w:rPr>
          <w:bCs/>
          <w:color w:val="000000" w:themeColor="text1"/>
        </w:rPr>
        <w:t xml:space="preserve">L’Observatoire des </w:t>
      </w:r>
      <w:r>
        <w:rPr>
          <w:bCs/>
          <w:color w:val="000000" w:themeColor="text1"/>
        </w:rPr>
        <w:t>CPE</w:t>
      </w:r>
      <w:r w:rsidRPr="00CB79A3">
        <w:rPr>
          <w:bCs/>
          <w:color w:val="000000" w:themeColor="text1"/>
        </w:rPr>
        <w:t xml:space="preserve">, lancé par </w:t>
      </w:r>
      <w:proofErr w:type="spellStart"/>
      <w:r w:rsidRPr="00CB79A3">
        <w:rPr>
          <w:bCs/>
          <w:color w:val="000000" w:themeColor="text1"/>
        </w:rPr>
        <w:t>l’Ademe</w:t>
      </w:r>
      <w:proofErr w:type="spellEnd"/>
      <w:r w:rsidRPr="00CB79A3">
        <w:rPr>
          <w:bCs/>
          <w:color w:val="000000" w:themeColor="text1"/>
        </w:rPr>
        <w:t xml:space="preserve">, le </w:t>
      </w:r>
      <w:proofErr w:type="spellStart"/>
      <w:r w:rsidRPr="00CB79A3">
        <w:rPr>
          <w:bCs/>
          <w:color w:val="000000" w:themeColor="text1"/>
        </w:rPr>
        <w:t>Cerema</w:t>
      </w:r>
      <w:proofErr w:type="spellEnd"/>
      <w:r w:rsidRPr="00CB79A3">
        <w:rPr>
          <w:bCs/>
          <w:color w:val="000000" w:themeColor="text1"/>
        </w:rPr>
        <w:t xml:space="preserve"> et le CSTB</w:t>
      </w:r>
      <w:r>
        <w:rPr>
          <w:bCs/>
          <w:color w:val="000000" w:themeColor="text1"/>
        </w:rPr>
        <w:t xml:space="preserve">, recense également plusieurs catégories de CPE </w:t>
      </w:r>
      <w:r w:rsidR="00063472">
        <w:rPr>
          <w:bCs/>
          <w:color w:val="000000" w:themeColor="text1"/>
        </w:rPr>
        <w:t>(</w:t>
      </w:r>
      <w:hyperlink r:id="rId11" w:history="1">
        <w:r w:rsidR="00063472" w:rsidRPr="009E6935">
          <w:rPr>
            <w:rStyle w:val="Lienhypertexte"/>
          </w:rPr>
          <w:t>https://www.ademe.fr/sites/default/files/assets/documents/ocpe_chiffres-cles_n2.pdf</w:t>
        </w:r>
      </w:hyperlink>
      <w:r w:rsidR="00063472">
        <w:rPr>
          <w:rStyle w:val="Lienhypertexte"/>
        </w:rPr>
        <w:t xml:space="preserve">) </w:t>
      </w:r>
      <w:r w:rsidRPr="005B39B6">
        <w:rPr>
          <w:bCs/>
          <w:color w:val="000000" w:themeColor="text1"/>
        </w:rPr>
        <w:t>:</w:t>
      </w:r>
    </w:p>
    <w:p w14:paraId="6686F574" w14:textId="205EA61F" w:rsidR="000C404C" w:rsidRDefault="000C404C" w:rsidP="00AA6146">
      <w:pPr>
        <w:pStyle w:val="Paragraphedeliste"/>
        <w:numPr>
          <w:ilvl w:val="0"/>
          <w:numId w:val="4"/>
        </w:numPr>
        <w:spacing w:after="120" w:line="240" w:lineRule="auto"/>
        <w:contextualSpacing w:val="0"/>
        <w:jc w:val="both"/>
        <w:rPr>
          <w:rFonts w:cstheme="minorHAnsi"/>
          <w:color w:val="000000" w:themeColor="text1"/>
        </w:rPr>
      </w:pPr>
      <w:r w:rsidRPr="000C404C">
        <w:rPr>
          <w:rFonts w:cstheme="minorHAnsi"/>
          <w:color w:val="000000" w:themeColor="text1"/>
        </w:rPr>
        <w:t xml:space="preserve">une catégorie « CPE services » correspondant à des actions d’optimisation et d’exploitation des systèmes dites « à faible investissement » visant la gestion, la régulation et l’optimisation en exploitation des équipements énergétiques, </w:t>
      </w:r>
    </w:p>
    <w:p w14:paraId="4DEEDC37" w14:textId="12BDC69A" w:rsidR="00063472" w:rsidRDefault="000C404C" w:rsidP="00063472">
      <w:pPr>
        <w:pStyle w:val="Paragraphedeliste"/>
        <w:numPr>
          <w:ilvl w:val="0"/>
          <w:numId w:val="4"/>
        </w:numPr>
        <w:spacing w:after="120" w:line="240" w:lineRule="auto"/>
        <w:contextualSpacing w:val="0"/>
        <w:jc w:val="both"/>
        <w:rPr>
          <w:rFonts w:cstheme="minorHAnsi"/>
          <w:color w:val="000000" w:themeColor="text1"/>
        </w:rPr>
      </w:pPr>
      <w:r w:rsidRPr="000C404C">
        <w:rPr>
          <w:rFonts w:cstheme="minorHAnsi"/>
          <w:color w:val="000000" w:themeColor="text1"/>
        </w:rPr>
        <w:t xml:space="preserve">une catégorie « CPE systèmes » correspondant à des actions d’optimisation et d’exploitation réunies avec des travaux portant uniquement sur les systèmes, </w:t>
      </w:r>
    </w:p>
    <w:p w14:paraId="37E6002D" w14:textId="77777777" w:rsidR="000C6A7B" w:rsidRDefault="000C404C" w:rsidP="000C6A7B">
      <w:pPr>
        <w:pStyle w:val="Paragraphedeliste"/>
        <w:numPr>
          <w:ilvl w:val="0"/>
          <w:numId w:val="4"/>
        </w:numPr>
        <w:spacing w:after="120" w:line="240" w:lineRule="auto"/>
        <w:contextualSpacing w:val="0"/>
        <w:jc w:val="both"/>
        <w:rPr>
          <w:rFonts w:cstheme="minorHAnsi"/>
          <w:color w:val="000000" w:themeColor="text1"/>
        </w:rPr>
      </w:pPr>
      <w:r w:rsidRPr="00063472">
        <w:rPr>
          <w:rFonts w:cstheme="minorHAnsi"/>
          <w:color w:val="000000" w:themeColor="text1"/>
        </w:rPr>
        <w:t>et une dernière catégorie « CPE globaux » correspondant à des rénovations globales associant</w:t>
      </w:r>
      <w:r w:rsidR="00063472">
        <w:rPr>
          <w:rFonts w:cstheme="minorHAnsi"/>
          <w:color w:val="000000" w:themeColor="text1"/>
        </w:rPr>
        <w:t xml:space="preserve"> </w:t>
      </w:r>
      <w:r w:rsidRPr="00063472">
        <w:rPr>
          <w:rFonts w:cstheme="minorHAnsi"/>
          <w:color w:val="000000" w:themeColor="text1"/>
        </w:rPr>
        <w:t>travaux sur le bâti, travaux sur les systèmes énergétiques et actions d’optimisation et d’exploitation.</w:t>
      </w:r>
    </w:p>
    <w:p w14:paraId="67AB6523" w14:textId="4452CF42" w:rsidR="00820C61" w:rsidRDefault="00820C61" w:rsidP="00AA6146">
      <w:pPr>
        <w:pStyle w:val="Titre1"/>
        <w:spacing w:line="240" w:lineRule="auto"/>
      </w:pPr>
      <w:r w:rsidRPr="008B571E">
        <w:fldChar w:fldCharType="begin"/>
      </w:r>
      <w:r w:rsidRPr="008B571E">
        <w:instrText xml:space="preserve"> AUTONUMLGL </w:instrText>
      </w:r>
      <w:bookmarkStart w:id="15" w:name="_Toc112748999"/>
      <w:r w:rsidRPr="008B571E">
        <w:fldChar w:fldCharType="end"/>
      </w:r>
      <w:r w:rsidRPr="008B571E">
        <w:t xml:space="preserve"> </w:t>
      </w:r>
      <w:r>
        <w:t>Objectifs du CPE</w:t>
      </w:r>
      <w:bookmarkEnd w:id="15"/>
    </w:p>
    <w:p w14:paraId="1166C2CC" w14:textId="5222EAB7" w:rsidR="00820C61" w:rsidRPr="00D92E49" w:rsidRDefault="005C01D4" w:rsidP="00AA6146">
      <w:pPr>
        <w:pStyle w:val="Paragraphedeliste"/>
        <w:spacing w:line="240" w:lineRule="auto"/>
        <w:ind w:left="0"/>
        <w:contextualSpacing w:val="0"/>
        <w:jc w:val="both"/>
        <w:rPr>
          <w:rFonts w:cstheme="minorHAnsi"/>
          <w:color w:val="000000" w:themeColor="text1"/>
        </w:rPr>
      </w:pPr>
      <w:r>
        <w:rPr>
          <w:rFonts w:cstheme="minorHAnsi"/>
          <w:color w:val="000000" w:themeColor="text1"/>
        </w:rPr>
        <w:t>D</w:t>
      </w:r>
      <w:r w:rsidR="00820C61" w:rsidRPr="00D92E49">
        <w:rPr>
          <w:rFonts w:cstheme="minorHAnsi"/>
          <w:color w:val="000000" w:themeColor="text1"/>
        </w:rPr>
        <w:t xml:space="preserve">ans le cadre d’un CPE, le Titulaire s’engage à atteindre les objectifs de performance suivants : </w:t>
      </w:r>
    </w:p>
    <w:p w14:paraId="2E4BBB77" w14:textId="20D8EB12" w:rsidR="00820C61" w:rsidRPr="00D92E49" w:rsidRDefault="00820C61"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A titre principal</w:t>
      </w:r>
      <w:r>
        <w:rPr>
          <w:rFonts w:cstheme="minorHAnsi"/>
          <w:bCs/>
          <w:color w:val="000000" w:themeColor="text1"/>
        </w:rPr>
        <w:t xml:space="preserve"> et </w:t>
      </w:r>
      <w:r w:rsidRPr="00D84230">
        <w:rPr>
          <w:rFonts w:cstheme="minorHAnsi"/>
          <w:bCs/>
          <w:i/>
          <w:iCs/>
          <w:color w:val="000000" w:themeColor="text1"/>
        </w:rPr>
        <w:t>a minima</w:t>
      </w:r>
      <w:r w:rsidRPr="00D92E49">
        <w:rPr>
          <w:rFonts w:cstheme="minorHAnsi"/>
          <w:bCs/>
          <w:color w:val="000000" w:themeColor="text1"/>
        </w:rPr>
        <w:t>,</w:t>
      </w:r>
      <w:r w:rsidRPr="00D92E49" w:rsidDel="007F2D53">
        <w:rPr>
          <w:rFonts w:cstheme="minorHAnsi"/>
          <w:bCs/>
          <w:color w:val="000000" w:themeColor="text1"/>
        </w:rPr>
        <w:t xml:space="preserve"> </w:t>
      </w:r>
      <w:r w:rsidRPr="00D92E49">
        <w:rPr>
          <w:rFonts w:cstheme="minorHAnsi"/>
          <w:bCs/>
          <w:color w:val="000000" w:themeColor="text1"/>
        </w:rPr>
        <w:t>un Objectif de Performance Énergétique « Réelle »</w:t>
      </w:r>
      <w:r w:rsidR="006976C6">
        <w:rPr>
          <w:rFonts w:cstheme="minorHAnsi"/>
          <w:bCs/>
          <w:color w:val="000000" w:themeColor="text1"/>
        </w:rPr>
        <w:t>.</w:t>
      </w:r>
    </w:p>
    <w:p w14:paraId="2A639647" w14:textId="77777777" w:rsidR="00820C61" w:rsidRPr="00D84230" w:rsidRDefault="00820C61"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 xml:space="preserve">Éventuellement, à titre complémentaire, un Objectif de Performance Énergétique « Conventionnelle ». </w:t>
      </w:r>
    </w:p>
    <w:p w14:paraId="1424DC0D" w14:textId="108912AD" w:rsidR="00A37948" w:rsidRPr="00AA6146" w:rsidRDefault="00A37948" w:rsidP="00AA6146">
      <w:pPr>
        <w:pStyle w:val="Paragraphedeliste"/>
        <w:spacing w:after="120" w:line="240" w:lineRule="auto"/>
        <w:ind w:left="1080"/>
        <w:contextualSpacing w:val="0"/>
        <w:jc w:val="both"/>
        <w:rPr>
          <w:rFonts w:cstheme="minorHAnsi"/>
          <w:bCs/>
          <w:i/>
          <w:iCs/>
        </w:rPr>
      </w:pPr>
      <w:r w:rsidRPr="00AA6146">
        <w:rPr>
          <w:rFonts w:cstheme="minorHAnsi"/>
          <w:bCs/>
          <w:i/>
          <w:iCs/>
        </w:rPr>
        <w:t xml:space="preserve">NB : </w:t>
      </w:r>
      <w:r w:rsidR="00820C61" w:rsidRPr="00AA6146">
        <w:rPr>
          <w:rFonts w:cstheme="minorHAnsi"/>
          <w:i/>
        </w:rPr>
        <w:t xml:space="preserve">Par définition, un CPE consiste à proposer au Maître d’Ouvrage une garantie sur un niveau de consommations énergétiques réelles, contrairement à la situation </w:t>
      </w:r>
      <w:r w:rsidRPr="00AA6146">
        <w:rPr>
          <w:rFonts w:cstheme="minorHAnsi"/>
          <w:bCs/>
          <w:i/>
          <w:iCs/>
        </w:rPr>
        <w:t>habituelle</w:t>
      </w:r>
      <w:r w:rsidR="00820C61" w:rsidRPr="00AA6146">
        <w:rPr>
          <w:rFonts w:cstheme="minorHAnsi"/>
          <w:bCs/>
          <w:i/>
          <w:iCs/>
        </w:rPr>
        <w:t xml:space="preserve"> </w:t>
      </w:r>
      <w:r w:rsidRPr="00AA6146">
        <w:rPr>
          <w:rFonts w:cstheme="minorHAnsi"/>
          <w:bCs/>
          <w:i/>
          <w:iCs/>
        </w:rPr>
        <w:t>dans laquelle</w:t>
      </w:r>
      <w:r w:rsidR="00820C61" w:rsidRPr="00AA6146">
        <w:rPr>
          <w:rFonts w:cstheme="minorHAnsi"/>
          <w:i/>
        </w:rPr>
        <w:t xml:space="preserve"> le cocontractant s’engage seulement sur une performance énergétique conventionnelle souvent déconnectée des consommations effectivement constatées. </w:t>
      </w:r>
    </w:p>
    <w:p w14:paraId="4988F7A9" w14:textId="0525BF34" w:rsidR="00820C61" w:rsidRPr="00AA6146" w:rsidRDefault="00820C61" w:rsidP="00AA6146">
      <w:pPr>
        <w:pStyle w:val="Paragraphedeliste"/>
        <w:spacing w:after="120" w:line="240" w:lineRule="auto"/>
        <w:ind w:left="1080"/>
        <w:contextualSpacing w:val="0"/>
        <w:jc w:val="both"/>
        <w:rPr>
          <w:rFonts w:cstheme="minorHAnsi"/>
          <w:i/>
          <w:color w:val="000000" w:themeColor="text1"/>
        </w:rPr>
      </w:pPr>
      <w:r w:rsidRPr="00AA6146">
        <w:rPr>
          <w:rFonts w:cstheme="minorHAnsi"/>
          <w:i/>
        </w:rPr>
        <w:t>Ces deux dimensions de la performance énergétique – performance réelle et performance conventionnelle – peuvent toutefois être envisagées de façon complémentaire pour des bâtiments publics, l’une n’ayant pas par principe vocation à se substituer à l’autre. Par conséquent, il est fréquemment demandé au Titulaire d’un CPE de concevoir ses Action d’Amélioration de la</w:t>
      </w:r>
      <w:r w:rsidRPr="00AA6146">
        <w:rPr>
          <w:rFonts w:cstheme="minorHAnsi"/>
          <w:i/>
          <w:color w:val="000000" w:themeColor="text1"/>
        </w:rPr>
        <w:t xml:space="preserve"> Performance Énergétique de façon à atteindre une performance énergétique réelle et une performance conventionnelle des bâtiments (exemple obtention d’une certification). </w:t>
      </w:r>
    </w:p>
    <w:p w14:paraId="2691EE61" w14:textId="77777777" w:rsidR="00820C61" w:rsidRPr="00D92E49" w:rsidRDefault="00820C61" w:rsidP="00AA6146">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lastRenderedPageBreak/>
        <w:t>Éventuellement, à titre complémentaire, un ou des Objectifs de Performance Environnementale.</w:t>
      </w:r>
    </w:p>
    <w:p w14:paraId="4772CCDD" w14:textId="77777777" w:rsidR="00820C61" w:rsidRPr="00D92E49" w:rsidRDefault="00820C61" w:rsidP="00AA6146">
      <w:pPr>
        <w:pStyle w:val="Paragraphedeliste"/>
        <w:spacing w:line="240" w:lineRule="auto"/>
        <w:ind w:left="360" w:hanging="11"/>
        <w:contextualSpacing w:val="0"/>
        <w:jc w:val="both"/>
        <w:rPr>
          <w:rFonts w:cstheme="minorHAnsi"/>
          <w:bCs/>
          <w:color w:val="000000" w:themeColor="text1"/>
        </w:rPr>
      </w:pPr>
      <w:r w:rsidRPr="00D92E49">
        <w:rPr>
          <w:rFonts w:cstheme="minorHAnsi"/>
          <w:bCs/>
          <w:color w:val="000000" w:themeColor="text1"/>
        </w:rPr>
        <w:t>En effet, le Maître d’Ouvrage qui initie le Marché a généralement une vision plus vaste de la question énergétique, au-delà de la seule performance énergétique. Il peut ainsi être demandé au Titulaire de travailler sur la performance environnementale du ou des Bâtiments objets du Marché</w:t>
      </w:r>
      <w:r w:rsidRPr="00D92E49">
        <w:rPr>
          <w:rStyle w:val="Appelnotedebasdep"/>
          <w:rFonts w:cstheme="minorHAnsi"/>
          <w:bCs/>
          <w:color w:val="000000" w:themeColor="text1"/>
        </w:rPr>
        <w:footnoteReference w:id="5"/>
      </w:r>
      <w:r w:rsidRPr="00D92E49">
        <w:rPr>
          <w:rFonts w:cstheme="minorHAnsi"/>
          <w:bCs/>
          <w:color w:val="000000" w:themeColor="text1"/>
        </w:rPr>
        <w:t> :</w:t>
      </w:r>
    </w:p>
    <w:p w14:paraId="1A2A1B05" w14:textId="77777777" w:rsidR="00820C61" w:rsidRPr="00D92E49" w:rsidRDefault="00820C61" w:rsidP="00AA6146">
      <w:pPr>
        <w:pStyle w:val="Paragraphedeliste"/>
        <w:numPr>
          <w:ilvl w:val="0"/>
          <w:numId w:val="5"/>
        </w:numPr>
        <w:spacing w:after="120" w:line="240" w:lineRule="auto"/>
        <w:ind w:left="809"/>
        <w:contextualSpacing w:val="0"/>
        <w:jc w:val="both"/>
        <w:rPr>
          <w:rFonts w:cstheme="minorHAnsi"/>
          <w:bCs/>
          <w:color w:val="000000" w:themeColor="text1"/>
        </w:rPr>
      </w:pPr>
      <w:r w:rsidRPr="00D92E49">
        <w:rPr>
          <w:rFonts w:cstheme="minorHAnsi"/>
          <w:bCs/>
          <w:color w:val="000000" w:themeColor="text1"/>
        </w:rPr>
        <w:t>soit en s’engageant à produire de l’énergie à partir de sources renouvelables ou de récupération : photovoltaïque, biomasse, géothermie, déchets, etc. ;</w:t>
      </w:r>
    </w:p>
    <w:p w14:paraId="5C5B5566" w14:textId="77777777" w:rsidR="00820C61" w:rsidRPr="00D92E49" w:rsidRDefault="00820C61" w:rsidP="00AA6146">
      <w:pPr>
        <w:pStyle w:val="Paragraphedeliste"/>
        <w:numPr>
          <w:ilvl w:val="0"/>
          <w:numId w:val="5"/>
        </w:numPr>
        <w:spacing w:after="120" w:line="240" w:lineRule="auto"/>
        <w:ind w:left="809"/>
        <w:contextualSpacing w:val="0"/>
        <w:jc w:val="both"/>
        <w:rPr>
          <w:rFonts w:cstheme="minorHAnsi"/>
          <w:bCs/>
          <w:color w:val="000000" w:themeColor="text1"/>
        </w:rPr>
      </w:pPr>
      <w:r w:rsidRPr="00D92E49">
        <w:rPr>
          <w:rFonts w:cstheme="minorHAnsi"/>
          <w:bCs/>
          <w:color w:val="000000" w:themeColor="text1"/>
        </w:rPr>
        <w:t>soit en s’engageant à réduire les émissions de gaz à effet de serre (GES) par rapport à la Situation de Référence ;</w:t>
      </w:r>
    </w:p>
    <w:p w14:paraId="36E807F1" w14:textId="77777777" w:rsidR="00820C61" w:rsidRPr="00D92E49" w:rsidRDefault="00820C61" w:rsidP="00AA6146">
      <w:pPr>
        <w:pStyle w:val="Paragraphedeliste"/>
        <w:numPr>
          <w:ilvl w:val="0"/>
          <w:numId w:val="5"/>
        </w:numPr>
        <w:spacing w:after="120" w:line="240" w:lineRule="auto"/>
        <w:ind w:left="809"/>
        <w:contextualSpacing w:val="0"/>
        <w:jc w:val="both"/>
        <w:rPr>
          <w:rFonts w:cstheme="minorHAnsi"/>
          <w:bCs/>
          <w:color w:val="000000" w:themeColor="text1"/>
        </w:rPr>
      </w:pPr>
      <w:r w:rsidRPr="00D92E49">
        <w:rPr>
          <w:rFonts w:cstheme="minorHAnsi"/>
          <w:bCs/>
          <w:color w:val="000000" w:themeColor="text1"/>
        </w:rPr>
        <w:t>soit en s’engageant sur un objectif relatif à la qualité de l’air intérieur.</w:t>
      </w:r>
    </w:p>
    <w:p w14:paraId="7E8572E0" w14:textId="77777777" w:rsidR="00820C61" w:rsidRPr="00D92E49" w:rsidRDefault="00820C61" w:rsidP="00AD4F1C">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Éventuellement, à titre complémentaire, un ou des objectifs en termes de niveau d’activité (par exemple rationalisation des espaces occupés) et/ou de qualité de service.</w:t>
      </w:r>
    </w:p>
    <w:p w14:paraId="609502C5" w14:textId="77777777" w:rsidR="00820C61" w:rsidRPr="00D17ED4" w:rsidRDefault="00820C61" w:rsidP="00AD4F1C">
      <w:pPr>
        <w:pStyle w:val="Paragraphedeliste"/>
        <w:numPr>
          <w:ilvl w:val="0"/>
          <w:numId w:val="4"/>
        </w:numPr>
        <w:spacing w:after="120" w:line="240" w:lineRule="auto"/>
        <w:contextualSpacing w:val="0"/>
        <w:jc w:val="both"/>
        <w:rPr>
          <w:rFonts w:cstheme="minorHAnsi"/>
          <w:bCs/>
          <w:color w:val="000000" w:themeColor="text1"/>
        </w:rPr>
      </w:pPr>
      <w:r w:rsidRPr="00D92E49">
        <w:rPr>
          <w:rFonts w:cstheme="minorHAnsi"/>
          <w:bCs/>
          <w:color w:val="000000" w:themeColor="text1"/>
        </w:rPr>
        <w:t>Éventuellement, à titre complémentaire, un ou des objectifs non spécifiquement liés à la nature globale du marché (</w:t>
      </w:r>
      <w:r w:rsidRPr="00D92E49">
        <w:rPr>
          <w:rFonts w:cstheme="minorHAnsi"/>
          <w:color w:val="000000" w:themeColor="text1"/>
        </w:rPr>
        <w:t xml:space="preserve">par exemple des objectifs de performance au stade de la réception des </w:t>
      </w:r>
      <w:r w:rsidRPr="00AD4F1C">
        <w:rPr>
          <w:rFonts w:cstheme="minorHAnsi"/>
          <w:color w:val="000000" w:themeColor="text1"/>
        </w:rPr>
        <w:t>Actions de Rénovation</w:t>
      </w:r>
      <w:r w:rsidRPr="00D92E49">
        <w:rPr>
          <w:rFonts w:cstheme="minorHAnsi"/>
          <w:color w:val="000000" w:themeColor="text1"/>
        </w:rPr>
        <w:t>)</w:t>
      </w:r>
      <w:r w:rsidRPr="00D92E49">
        <w:rPr>
          <w:rFonts w:cstheme="minorHAnsi"/>
          <w:bCs/>
          <w:color w:val="000000" w:themeColor="text1"/>
        </w:rPr>
        <w:t>.</w:t>
      </w:r>
    </w:p>
    <w:p w14:paraId="1AC244A4" w14:textId="6186044C" w:rsidR="00B60861" w:rsidRPr="00EE4DE1" w:rsidRDefault="00B60861" w:rsidP="00AD4F1C">
      <w:pPr>
        <w:pStyle w:val="Titre1"/>
        <w:spacing w:line="240" w:lineRule="auto"/>
      </w:pPr>
      <w:r w:rsidRPr="008B571E">
        <w:fldChar w:fldCharType="begin"/>
      </w:r>
      <w:r w:rsidRPr="008B571E">
        <w:instrText xml:space="preserve"> AUTONUMLGL </w:instrText>
      </w:r>
      <w:bookmarkStart w:id="16" w:name="_Toc112749000"/>
      <w:r w:rsidRPr="008B571E">
        <w:fldChar w:fldCharType="end"/>
      </w:r>
      <w:r w:rsidRPr="008B571E">
        <w:t xml:space="preserve"> </w:t>
      </w:r>
      <w:r w:rsidR="00A6608D">
        <w:t>D</w:t>
      </w:r>
      <w:r w:rsidR="002033AA">
        <w:t>urée</w:t>
      </w:r>
      <w:r w:rsidR="00682397">
        <w:fldChar w:fldCharType="begin"/>
      </w:r>
      <w:r w:rsidR="00682397">
        <w:instrText xml:space="preserve"> XE "</w:instrText>
      </w:r>
      <w:r w:rsidR="00682397" w:rsidRPr="009A17BE">
        <w:instrText>Durée</w:instrText>
      </w:r>
      <w:r w:rsidR="00682397">
        <w:instrText xml:space="preserve">" \i </w:instrText>
      </w:r>
      <w:r w:rsidR="00682397">
        <w:fldChar w:fldCharType="end"/>
      </w:r>
      <w:r w:rsidR="002033AA">
        <w:t xml:space="preserve"> du </w:t>
      </w:r>
      <w:r w:rsidR="00A6608D">
        <w:t>CPE</w:t>
      </w:r>
      <w:bookmarkEnd w:id="16"/>
    </w:p>
    <w:p w14:paraId="7C6193C9" w14:textId="5B47DA24" w:rsidR="00EF2E04" w:rsidRPr="004B4D4C" w:rsidRDefault="00EF2E04" w:rsidP="00AD4F1C">
      <w:pPr>
        <w:spacing w:line="240" w:lineRule="auto"/>
        <w:jc w:val="both"/>
        <w:rPr>
          <w:bCs/>
          <w:color w:val="000000" w:themeColor="text1"/>
        </w:rPr>
      </w:pPr>
      <w:r w:rsidRPr="004B4D4C">
        <w:rPr>
          <w:bCs/>
          <w:color w:val="000000" w:themeColor="text1"/>
        </w:rPr>
        <w:t>Les CPE pourront être conclus pour des durées assez longues s’ils comportent des Objectifs de Performance ambitieux dont il conviendra de vérifier et sanctionner l’atteinte ou la non atteinte sur une durée conséquente, proportionnelle aux enjeux du Marché.</w:t>
      </w:r>
    </w:p>
    <w:p w14:paraId="466F8D1D" w14:textId="5E0A44BF" w:rsidR="00EF2E04" w:rsidRDefault="00EF2E04" w:rsidP="00AD4F1C">
      <w:pPr>
        <w:spacing w:line="240" w:lineRule="auto"/>
        <w:jc w:val="both"/>
        <w:rPr>
          <w:bCs/>
          <w:color w:val="000000" w:themeColor="text1"/>
        </w:rPr>
      </w:pPr>
      <w:r w:rsidRPr="004B4D4C">
        <w:rPr>
          <w:bCs/>
          <w:color w:val="000000" w:themeColor="text1"/>
        </w:rPr>
        <w:t xml:space="preserve">En revanche, dès lors qu’ils incorporent une dimension travaux importante et génèrent structurellement un niveau d’investissement élevé, ces CPE ne sont que très peu aptes à être autofinancés au moyen des </w:t>
      </w:r>
      <w:r w:rsidR="00A37948">
        <w:rPr>
          <w:bCs/>
          <w:color w:val="000000" w:themeColor="text1"/>
        </w:rPr>
        <w:t xml:space="preserve">seules </w:t>
      </w:r>
      <w:r w:rsidRPr="004B4D4C">
        <w:rPr>
          <w:bCs/>
          <w:color w:val="000000" w:themeColor="text1"/>
        </w:rPr>
        <w:t>économies d’énergie sur la durée du marché, en l’état du prix des énergies. Ils apportent toutefois une amélioration incontestable de la valeur des Bâtiments qui doit être prise en considération </w:t>
      </w:r>
      <w:r w:rsidR="00A37948">
        <w:rPr>
          <w:bCs/>
          <w:color w:val="000000" w:themeColor="text1"/>
        </w:rPr>
        <w:t>:</w:t>
      </w:r>
      <w:r w:rsidRPr="004B4D4C">
        <w:rPr>
          <w:bCs/>
          <w:color w:val="000000" w:themeColor="text1"/>
        </w:rPr>
        <w:t xml:space="preserve"> rénover ou améliorer un Bâtiment suscite mécaniquement une augmentation de la valeur de celui-ci dès lors que ces travaux le remettent à niveau et effacent une partie de sa dépréciation résultant de l’écoulement du temps. En d’autres termes, ces MPGP participent d’une stratégie patrimoniale plus large que la seule performance énergétique.</w:t>
      </w:r>
    </w:p>
    <w:p w14:paraId="7F00A53F" w14:textId="0C375774" w:rsidR="00461EB2" w:rsidRPr="008A12BF" w:rsidRDefault="00461EB2" w:rsidP="00AD4F1C">
      <w:pPr>
        <w:pStyle w:val="Titre1"/>
        <w:spacing w:line="240" w:lineRule="auto"/>
      </w:pPr>
      <w:r w:rsidRPr="00AC6704">
        <w:fldChar w:fldCharType="begin"/>
      </w:r>
      <w:r w:rsidRPr="00F944E9">
        <w:instrText xml:space="preserve"> AUTONUMLGL </w:instrText>
      </w:r>
      <w:bookmarkStart w:id="17" w:name="_Toc112749001"/>
      <w:r w:rsidRPr="00AC6704">
        <w:fldChar w:fldCharType="end"/>
      </w:r>
      <w:r w:rsidRPr="00F944E9">
        <w:t xml:space="preserve"> Procédures de passation</w:t>
      </w:r>
      <w:bookmarkEnd w:id="17"/>
      <w:r w:rsidR="00682397">
        <w:fldChar w:fldCharType="begin"/>
      </w:r>
      <w:r w:rsidR="00682397">
        <w:instrText xml:space="preserve"> XE "</w:instrText>
      </w:r>
      <w:r w:rsidR="00682397" w:rsidRPr="005E0E8B">
        <w:instrText>Procédures de passation</w:instrText>
      </w:r>
      <w:r w:rsidR="00682397">
        <w:instrText xml:space="preserve">" \i </w:instrText>
      </w:r>
      <w:r w:rsidR="00682397">
        <w:fldChar w:fldCharType="end"/>
      </w:r>
    </w:p>
    <w:p w14:paraId="1387436C" w14:textId="6362C37A" w:rsidR="00461EB2" w:rsidRDefault="00835A7F" w:rsidP="00AD4F1C">
      <w:pPr>
        <w:spacing w:line="240" w:lineRule="auto"/>
        <w:jc w:val="both"/>
      </w:pPr>
      <w:r w:rsidRPr="004922EA">
        <w:rPr>
          <w:rFonts w:cstheme="minorHAnsi"/>
          <w:color w:val="000000"/>
        </w:rPr>
        <w:t>Selon l’article R</w:t>
      </w:r>
      <w:r>
        <w:rPr>
          <w:rFonts w:cstheme="minorHAnsi"/>
          <w:color w:val="000000"/>
        </w:rPr>
        <w:t>.</w:t>
      </w:r>
      <w:r w:rsidRPr="004922EA">
        <w:rPr>
          <w:rFonts w:cstheme="minorHAnsi"/>
          <w:color w:val="000000"/>
        </w:rPr>
        <w:t xml:space="preserve">2171-15 du </w:t>
      </w:r>
      <w:r>
        <w:rPr>
          <w:rFonts w:cstheme="minorHAnsi"/>
          <w:color w:val="000000"/>
        </w:rPr>
        <w:t>C</w:t>
      </w:r>
      <w:r w:rsidRPr="004922EA">
        <w:rPr>
          <w:rFonts w:cstheme="minorHAnsi"/>
          <w:color w:val="000000"/>
        </w:rPr>
        <w:t xml:space="preserve">ode de la commande publique, </w:t>
      </w:r>
      <w:r>
        <w:rPr>
          <w:color w:val="000000"/>
        </w:rPr>
        <w:t>l</w:t>
      </w:r>
      <w:r w:rsidRPr="00DD659A">
        <w:rPr>
          <w:color w:val="000000"/>
        </w:rPr>
        <w:t xml:space="preserve">orsque la valeur estimée du besoin est égale ou supérieure aux seuils de procédure formalisée, les acheteurs passent </w:t>
      </w:r>
      <w:r>
        <w:rPr>
          <w:color w:val="000000"/>
        </w:rPr>
        <w:t>leurs</w:t>
      </w:r>
      <w:r w:rsidRPr="00DD659A">
        <w:rPr>
          <w:color w:val="000000"/>
        </w:rPr>
        <w:t xml:space="preserve"> marchés globaux </w:t>
      </w:r>
      <w:r w:rsidRPr="00F64BAB">
        <w:rPr>
          <w:color w:val="000000"/>
        </w:rPr>
        <w:t xml:space="preserve">de performance </w:t>
      </w:r>
      <w:r w:rsidRPr="005A1904">
        <w:rPr>
          <w:color w:val="000000"/>
        </w:rPr>
        <w:t>selon l'une des procédures mentionnées aux articles</w:t>
      </w:r>
      <w:r>
        <w:rPr>
          <w:color w:val="000000"/>
        </w:rPr>
        <w:t xml:space="preserve"> </w:t>
      </w:r>
      <w:r w:rsidRPr="00F64BAB">
        <w:rPr>
          <w:color w:val="000000"/>
        </w:rPr>
        <w:t>R.2124-2 à R.2124-5 du Code de la commande publique</w:t>
      </w:r>
      <w:r w:rsidR="00461EB2">
        <w:t xml:space="preserve"> : </w:t>
      </w:r>
    </w:p>
    <w:p w14:paraId="473236CA" w14:textId="77777777" w:rsidR="00461EB2" w:rsidRDefault="00461EB2" w:rsidP="00AD4F1C">
      <w:pPr>
        <w:pStyle w:val="Paragraphedeliste"/>
        <w:numPr>
          <w:ilvl w:val="0"/>
          <w:numId w:val="30"/>
        </w:numPr>
        <w:spacing w:line="240" w:lineRule="auto"/>
        <w:contextualSpacing w:val="0"/>
        <w:jc w:val="both"/>
      </w:pPr>
      <w:r>
        <w:t xml:space="preserve">Appel d’offres ouvert ou restreint ; </w:t>
      </w:r>
    </w:p>
    <w:p w14:paraId="6C6CB1D5" w14:textId="77777777" w:rsidR="00461EB2" w:rsidRDefault="00461EB2" w:rsidP="00AD4F1C">
      <w:pPr>
        <w:pStyle w:val="Paragraphedeliste"/>
        <w:numPr>
          <w:ilvl w:val="0"/>
          <w:numId w:val="30"/>
        </w:numPr>
        <w:spacing w:line="240" w:lineRule="auto"/>
        <w:contextualSpacing w:val="0"/>
        <w:jc w:val="both"/>
      </w:pPr>
      <w:r>
        <w:t>Procédure avec négociation ;</w:t>
      </w:r>
    </w:p>
    <w:p w14:paraId="20EF190A" w14:textId="77777777" w:rsidR="00461EB2" w:rsidRDefault="00461EB2" w:rsidP="00AD4F1C">
      <w:pPr>
        <w:pStyle w:val="Paragraphedeliste"/>
        <w:numPr>
          <w:ilvl w:val="0"/>
          <w:numId w:val="30"/>
        </w:numPr>
        <w:spacing w:line="240" w:lineRule="auto"/>
        <w:contextualSpacing w:val="0"/>
        <w:jc w:val="both"/>
      </w:pPr>
      <w:r>
        <w:lastRenderedPageBreak/>
        <w:t xml:space="preserve">Dialogue compétitif. </w:t>
      </w:r>
    </w:p>
    <w:p w14:paraId="0FA05466" w14:textId="77777777" w:rsidR="00461EB2" w:rsidRDefault="00461EB2" w:rsidP="00AD4F1C">
      <w:pPr>
        <w:spacing w:line="240" w:lineRule="auto"/>
        <w:jc w:val="both"/>
      </w:pPr>
      <w:r>
        <w:t xml:space="preserve">En particulier, le choix entre ces différentes procédures peut être librement déterminé : </w:t>
      </w:r>
    </w:p>
    <w:p w14:paraId="14D296A3" w14:textId="77777777" w:rsidR="00461EB2" w:rsidRPr="00A6585C" w:rsidRDefault="00461EB2" w:rsidP="00AD4F1C">
      <w:pPr>
        <w:pStyle w:val="Paragraphedeliste"/>
        <w:numPr>
          <w:ilvl w:val="0"/>
          <w:numId w:val="30"/>
        </w:numPr>
        <w:spacing w:line="240" w:lineRule="auto"/>
        <w:contextualSpacing w:val="0"/>
        <w:jc w:val="both"/>
        <w:rPr>
          <w:i/>
          <w:iCs/>
        </w:rPr>
      </w:pPr>
      <w:r w:rsidRPr="00A6585C">
        <w:rPr>
          <w:i/>
          <w:iCs/>
        </w:rPr>
        <w:t xml:space="preserve">« Lorsque le marché comporte des prestations de conception » au sens de l’article R.2124-3 du Code de la commande publique ; </w:t>
      </w:r>
    </w:p>
    <w:p w14:paraId="6DE9ACED" w14:textId="77777777" w:rsidR="00461EB2" w:rsidRPr="00A6585C" w:rsidRDefault="00461EB2" w:rsidP="00AD4F1C">
      <w:pPr>
        <w:pStyle w:val="Paragraphedeliste"/>
        <w:numPr>
          <w:ilvl w:val="0"/>
          <w:numId w:val="30"/>
        </w:numPr>
        <w:spacing w:line="240" w:lineRule="auto"/>
        <w:contextualSpacing w:val="0"/>
        <w:jc w:val="both"/>
        <w:rPr>
          <w:i/>
          <w:iCs/>
        </w:rPr>
      </w:pPr>
      <w:r w:rsidRPr="00A6585C">
        <w:rPr>
          <w:i/>
          <w:iCs/>
        </w:rPr>
        <w:t>« Lorsque le marché ne peut être attribué sans négociation préalable du fait de circonstances particulières liées à sa nature, à sa complexité ou au montage juridique et financier ou en raison des risques qui s'y rattachent ».</w:t>
      </w:r>
    </w:p>
    <w:p w14:paraId="389BE567" w14:textId="288C636B" w:rsidR="00461EB2" w:rsidRDefault="0063775A" w:rsidP="00AD4F1C">
      <w:pPr>
        <w:spacing w:line="240" w:lineRule="auto"/>
        <w:jc w:val="both"/>
      </w:pPr>
      <w:r w:rsidRPr="00B24CB7">
        <w:t xml:space="preserve">La procédure </w:t>
      </w:r>
      <w:r>
        <w:t>de dialogue compétitif</w:t>
      </w:r>
      <w:r w:rsidRPr="00B24CB7">
        <w:t xml:space="preserve"> est régie par les articles L</w:t>
      </w:r>
      <w:r>
        <w:t>.</w:t>
      </w:r>
      <w:r w:rsidRPr="00B24CB7">
        <w:t>2124-4</w:t>
      </w:r>
      <w:r>
        <w:t xml:space="preserve"> </w:t>
      </w:r>
      <w:r w:rsidRPr="00B24CB7">
        <w:t>et R</w:t>
      </w:r>
      <w:r>
        <w:t>.</w:t>
      </w:r>
      <w:r w:rsidRPr="00B24CB7">
        <w:t>2161-24 à R</w:t>
      </w:r>
      <w:r>
        <w:t>.</w:t>
      </w:r>
      <w:r w:rsidRPr="00B24CB7">
        <w:t xml:space="preserve">2161-31 du </w:t>
      </w:r>
      <w:r>
        <w:t>C</w:t>
      </w:r>
      <w:r w:rsidRPr="00B24CB7">
        <w:t>ode de la commande publique</w:t>
      </w:r>
      <w:r w:rsidR="00461EB2" w:rsidRPr="006759E9">
        <w:t>.</w:t>
      </w:r>
      <w:r w:rsidR="00461EB2">
        <w:t xml:space="preserve"> </w:t>
      </w:r>
      <w:r w:rsidR="00461EB2" w:rsidRPr="00FE6996">
        <w:t xml:space="preserve">Le dialogue compétitif est la procédure dans laquelle </w:t>
      </w:r>
      <w:r w:rsidR="00461EB2">
        <w:t>le Pouvoir Adjudicateur</w:t>
      </w:r>
      <w:r w:rsidR="00461EB2" w:rsidRPr="00AD18B0">
        <w:t xml:space="preserve"> </w:t>
      </w:r>
      <w:r w:rsidR="00461EB2" w:rsidRPr="00FE6996">
        <w:t xml:space="preserve">dialogue avec les candidats admis à participer à la procédure en vue de définir ou développer une ou plusieurs solutions de nature à répondre à ses besoins et sur la base de laquelle ou desquelles les </w:t>
      </w:r>
      <w:r w:rsidR="00461EB2">
        <w:t xml:space="preserve">candidats </w:t>
      </w:r>
      <w:r w:rsidR="00461EB2" w:rsidRPr="00FE6996">
        <w:t>au dialogue sont invités à remettre une offre.</w:t>
      </w:r>
      <w:r w:rsidR="00461EB2" w:rsidRPr="00C84614">
        <w:t xml:space="preserve"> </w:t>
      </w:r>
      <w:r w:rsidR="00461EB2">
        <w:t>Il permet à la fois au Maître d’Ouvrage de finaliser son programme et aux participants de proposer des solutions innovantes et adéquates, dans le cadre d’une discussion juridiquement sécurisée.</w:t>
      </w:r>
    </w:p>
    <w:p w14:paraId="4FBC6A12" w14:textId="0A197F44" w:rsidR="00461EB2" w:rsidRDefault="00961A9A" w:rsidP="00AD4F1C">
      <w:pPr>
        <w:spacing w:line="240" w:lineRule="auto"/>
        <w:jc w:val="both"/>
      </w:pPr>
      <w:r w:rsidRPr="004922EA">
        <w:rPr>
          <w:rFonts w:cstheme="minorHAnsi"/>
          <w:bCs/>
        </w:rPr>
        <w:t xml:space="preserve">La procédure avec négociation régie par les articles </w:t>
      </w:r>
      <w:r w:rsidRPr="004922EA">
        <w:rPr>
          <w:rFonts w:cstheme="minorHAnsi"/>
        </w:rPr>
        <w:t>des articles L</w:t>
      </w:r>
      <w:r>
        <w:rPr>
          <w:rFonts w:cstheme="minorHAnsi"/>
        </w:rPr>
        <w:t>.</w:t>
      </w:r>
      <w:r w:rsidRPr="004922EA">
        <w:rPr>
          <w:rFonts w:cstheme="minorHAnsi"/>
        </w:rPr>
        <w:t>2124-3, R</w:t>
      </w:r>
      <w:r>
        <w:rPr>
          <w:rFonts w:cstheme="minorHAnsi"/>
        </w:rPr>
        <w:t>.</w:t>
      </w:r>
      <w:r w:rsidRPr="004922EA">
        <w:rPr>
          <w:rFonts w:cstheme="minorHAnsi"/>
        </w:rPr>
        <w:t>2124-3 et R</w:t>
      </w:r>
      <w:r>
        <w:rPr>
          <w:rFonts w:cstheme="minorHAnsi"/>
        </w:rPr>
        <w:t>.</w:t>
      </w:r>
      <w:r w:rsidRPr="004922EA">
        <w:rPr>
          <w:rFonts w:cstheme="minorHAnsi"/>
        </w:rPr>
        <w:t>2124-4</w:t>
      </w:r>
      <w:r>
        <w:rPr>
          <w:rFonts w:cstheme="minorHAnsi"/>
        </w:rPr>
        <w:t xml:space="preserve">, et R.2161-12 à R.2161-23 </w:t>
      </w:r>
      <w:r w:rsidRPr="004922EA">
        <w:rPr>
          <w:rFonts w:cstheme="minorHAnsi"/>
        </w:rPr>
        <w:t xml:space="preserve">du </w:t>
      </w:r>
      <w:r>
        <w:rPr>
          <w:rFonts w:cstheme="minorHAnsi"/>
        </w:rPr>
        <w:t>C</w:t>
      </w:r>
      <w:r w:rsidRPr="004922EA">
        <w:rPr>
          <w:rFonts w:cstheme="minorHAnsi"/>
        </w:rPr>
        <w:t>ode de la commande publique</w:t>
      </w:r>
      <w:r w:rsidR="00461EB2">
        <w:t>, est la procédure par laquelle un Maître d’Ouvrage négocie les conditions du marché public avec un ou plusieurs opérateurs économiques autorisés à participer aux négociations. Le Maître d’Ouvrage indique dans les documents de la consultation les exigences minimales que doivent respecter les offres.</w:t>
      </w:r>
    </w:p>
    <w:p w14:paraId="0A3E2396" w14:textId="77777777" w:rsidR="00461EB2" w:rsidRDefault="00461EB2" w:rsidP="00AD4F1C">
      <w:pPr>
        <w:spacing w:line="240" w:lineRule="auto"/>
        <w:jc w:val="both"/>
      </w:pPr>
      <w:r>
        <w:t>La procédure de dialogue compétitif et la procédure avec négociation sont particulièrement pertinentes en marché global. En effet, la discussion doit notamment permettre au Maître d’Ouvrage et aux participants :</w:t>
      </w:r>
    </w:p>
    <w:p w14:paraId="0CE7EC50" w14:textId="6D4B26D9" w:rsidR="00461EB2" w:rsidRDefault="00461EB2" w:rsidP="00AD4F1C">
      <w:pPr>
        <w:pStyle w:val="Paragraphedeliste"/>
        <w:numPr>
          <w:ilvl w:val="0"/>
          <w:numId w:val="30"/>
        </w:numPr>
        <w:spacing w:line="240" w:lineRule="auto"/>
        <w:contextualSpacing w:val="0"/>
        <w:jc w:val="both"/>
      </w:pPr>
      <w:r>
        <w:t xml:space="preserve">de définir, discuter et adapter les prescriptions techniques concernant les </w:t>
      </w:r>
      <w:r w:rsidR="00EC5A6A">
        <w:t xml:space="preserve">Actions de Rénovation et le Bouquet d’Amélioration de la Performance </w:t>
      </w:r>
      <w:r w:rsidR="002C6FBB">
        <w:t>Énergétique</w:t>
      </w:r>
      <w:r>
        <w:t xml:space="preserve"> à mettre en œuvre pour répondre aux besoins du Maître d’Ouvrage ; </w:t>
      </w:r>
    </w:p>
    <w:p w14:paraId="38618318" w14:textId="77777777" w:rsidR="00461EB2" w:rsidRDefault="00461EB2" w:rsidP="00AD4F1C">
      <w:pPr>
        <w:pStyle w:val="Paragraphedeliste"/>
        <w:numPr>
          <w:ilvl w:val="0"/>
          <w:numId w:val="30"/>
        </w:numPr>
        <w:spacing w:line="240" w:lineRule="auto"/>
        <w:contextualSpacing w:val="0"/>
        <w:jc w:val="both"/>
      </w:pPr>
      <w:r>
        <w:t>d’arrêter les caractéristiques et performances des Bâtiments au jour de l’entrée en vigueur du Marché, pour les opérations de réhabilitation/réutilisation ;</w:t>
      </w:r>
    </w:p>
    <w:p w14:paraId="0FEEF4E1" w14:textId="77777777" w:rsidR="00461EB2" w:rsidRDefault="00461EB2" w:rsidP="00AD4F1C">
      <w:pPr>
        <w:pStyle w:val="Paragraphedeliste"/>
        <w:numPr>
          <w:ilvl w:val="0"/>
          <w:numId w:val="30"/>
        </w:numPr>
        <w:spacing w:line="240" w:lineRule="auto"/>
        <w:contextualSpacing w:val="0"/>
        <w:jc w:val="both"/>
      </w:pPr>
      <w:r>
        <w:t xml:space="preserve">d’optimiser, répartir et sécuriser les risques d’interface (surcoûts, délais) entre la phase de conception et la phase de réalisation. </w:t>
      </w:r>
    </w:p>
    <w:p w14:paraId="5D352850" w14:textId="1CE246BE" w:rsidR="00461EB2" w:rsidRDefault="00461EB2" w:rsidP="00AD4F1C">
      <w:pPr>
        <w:spacing w:line="240" w:lineRule="auto"/>
        <w:jc w:val="both"/>
      </w:pPr>
      <w:r>
        <w:t>En revanche, le recours à une procédure d’appel d’offres</w:t>
      </w:r>
      <w:r w:rsidR="00682397">
        <w:fldChar w:fldCharType="begin"/>
      </w:r>
      <w:r w:rsidR="00682397">
        <w:instrText xml:space="preserve"> XE "</w:instrText>
      </w:r>
      <w:r w:rsidR="00682397" w:rsidRPr="00710878">
        <w:instrText>Appel d’offres</w:instrText>
      </w:r>
      <w:r w:rsidR="00682397">
        <w:instrText xml:space="preserve">" \i </w:instrText>
      </w:r>
      <w:r w:rsidR="00682397">
        <w:fldChar w:fldCharType="end"/>
      </w:r>
      <w:r>
        <w:t>, par définition sans discussion avec les candidats, risque au contraire de ne pas permettre à la concurrence de s’exprimer pleinement, ou de susciter des offres économiquement non maîtrisées.</w:t>
      </w:r>
    </w:p>
    <w:p w14:paraId="5B587754" w14:textId="77777777" w:rsidR="00461EB2" w:rsidRDefault="00461EB2" w:rsidP="00AD4F1C">
      <w:pPr>
        <w:spacing w:line="240" w:lineRule="auto"/>
        <w:jc w:val="both"/>
      </w:pPr>
      <w:r>
        <w:t>Le dialogue compétitif et la procédure avec négociation peuvent être conçus de façon très proche, car les modalités de négociation et de dialogue sont définies librement par le Maître d’Ouvrage. Il est toutefois recommandé de privilégier le dialogue compétitif dans les hypothèses où le Maître d’Ouvrage est dans l’impossibilité de définir les moyens et les solutions techniques, juridiques et financières aptes à satisfaire ses besoins. Dans la procédure avec négociation, le projet du Maître d’Ouvrage est plus abouti ; la discussion est moins centrée sur les besoins du Maître d’Ouvrage et davantage sur les offres des soumissionnaires.</w:t>
      </w:r>
    </w:p>
    <w:p w14:paraId="06840725" w14:textId="6737BD8C" w:rsidR="009B5EB2" w:rsidRPr="00B90556" w:rsidRDefault="008A2343" w:rsidP="00AD4F1C">
      <w:pPr>
        <w:pStyle w:val="Titre1"/>
        <w:spacing w:line="240" w:lineRule="auto"/>
      </w:pPr>
      <w:r w:rsidRPr="00AC6704">
        <w:lastRenderedPageBreak/>
        <w:fldChar w:fldCharType="begin"/>
      </w:r>
      <w:r w:rsidRPr="00645193">
        <w:instrText xml:space="preserve"> AUTONUMLGL </w:instrText>
      </w:r>
      <w:bookmarkStart w:id="18" w:name="_Toc112749002"/>
      <w:r w:rsidRPr="00AC6704">
        <w:fldChar w:fldCharType="end"/>
      </w:r>
      <w:r w:rsidRPr="009A6106">
        <w:t xml:space="preserve"> </w:t>
      </w:r>
      <w:r w:rsidR="00AA5261">
        <w:t>G</w:t>
      </w:r>
      <w:r w:rsidR="005D6734" w:rsidRPr="00820C61">
        <w:t>arantie de performance énergétique</w:t>
      </w:r>
      <w:bookmarkEnd w:id="18"/>
      <w:r w:rsidR="00682397">
        <w:fldChar w:fldCharType="begin"/>
      </w:r>
      <w:r w:rsidR="00682397">
        <w:instrText xml:space="preserve"> XE "</w:instrText>
      </w:r>
      <w:r w:rsidR="00682397" w:rsidRPr="00C00D27">
        <w:instrText>Garantie de performance énergétique</w:instrText>
      </w:r>
      <w:r w:rsidR="00682397">
        <w:instrText xml:space="preserve">" \i </w:instrText>
      </w:r>
      <w:r w:rsidR="00682397">
        <w:fldChar w:fldCharType="end"/>
      </w:r>
    </w:p>
    <w:p w14:paraId="484F6CD5" w14:textId="606F81BE" w:rsidR="00386234" w:rsidRPr="00645193" w:rsidRDefault="00645193" w:rsidP="00AD4F1C">
      <w:pPr>
        <w:pStyle w:val="Titre2"/>
        <w:spacing w:line="240" w:lineRule="auto"/>
      </w:pPr>
      <w:r w:rsidRPr="00012476">
        <w:fldChar w:fldCharType="begin"/>
      </w:r>
      <w:r w:rsidRPr="00012476">
        <w:instrText xml:space="preserve"> AUTONUMLGL </w:instrText>
      </w:r>
      <w:bookmarkStart w:id="19" w:name="_Toc112749003"/>
      <w:r w:rsidRPr="00012476">
        <w:fldChar w:fldCharType="end"/>
      </w:r>
      <w:r w:rsidRPr="00645193">
        <w:t xml:space="preserve"> Situation de Référence</w:t>
      </w:r>
      <w:bookmarkEnd w:id="19"/>
      <w:r w:rsidR="00682397">
        <w:fldChar w:fldCharType="begin"/>
      </w:r>
      <w:r w:rsidR="00682397">
        <w:instrText xml:space="preserve"> XE "</w:instrText>
      </w:r>
      <w:r w:rsidR="00682397" w:rsidRPr="00A243B3">
        <w:instrText>Situation de Référence</w:instrText>
      </w:r>
      <w:r w:rsidR="00682397">
        <w:instrText xml:space="preserve">" \i </w:instrText>
      </w:r>
      <w:r w:rsidR="00682397">
        <w:fldChar w:fldCharType="end"/>
      </w:r>
    </w:p>
    <w:p w14:paraId="2A0EFC20" w14:textId="3CAAB627" w:rsidR="00386234" w:rsidRDefault="00386234" w:rsidP="00AD4F1C">
      <w:pPr>
        <w:spacing w:line="240" w:lineRule="auto"/>
        <w:jc w:val="both"/>
      </w:pPr>
      <w:r>
        <w:t>La Situation de Référence constitue le point « zéro » du contrat, c’est-à-dire l’état du Bâtiment ou du parc de Bâtiments, au regard de sa Performance Énergétique, avant la réalisation du Bouquet d’Amélioration de la Performance Énergétique prévu par le Marché.</w:t>
      </w:r>
    </w:p>
    <w:p w14:paraId="1BEB1BD0" w14:textId="6BA6F95B" w:rsidR="00386234" w:rsidRDefault="00386234" w:rsidP="00AD4F1C">
      <w:pPr>
        <w:spacing w:line="240" w:lineRule="auto"/>
        <w:jc w:val="both"/>
      </w:pPr>
      <w:r>
        <w:t>Cette Situation de Référence vise à décrire, d’une part, les conditions d’usage et d’utilisation du Bâtiment ou du parc de Bâtiments et contient notamment :</w:t>
      </w:r>
    </w:p>
    <w:p w14:paraId="2596B948" w14:textId="7F6995DF" w:rsidR="00386234" w:rsidRDefault="00386234" w:rsidP="00AD4F1C">
      <w:pPr>
        <w:pStyle w:val="Paragraphedeliste"/>
        <w:numPr>
          <w:ilvl w:val="0"/>
          <w:numId w:val="30"/>
        </w:numPr>
        <w:spacing w:line="240" w:lineRule="auto"/>
        <w:contextualSpacing w:val="0"/>
        <w:jc w:val="both"/>
      </w:pPr>
      <w:r>
        <w:t>les plans ;</w:t>
      </w:r>
    </w:p>
    <w:p w14:paraId="224EB3E8" w14:textId="270E53C5" w:rsidR="00386234" w:rsidRDefault="00386234" w:rsidP="00AD4F1C">
      <w:pPr>
        <w:pStyle w:val="Paragraphedeliste"/>
        <w:numPr>
          <w:ilvl w:val="0"/>
          <w:numId w:val="30"/>
        </w:numPr>
        <w:spacing w:line="240" w:lineRule="auto"/>
        <w:contextualSpacing w:val="0"/>
        <w:jc w:val="both"/>
      </w:pPr>
      <w:r>
        <w:t>l’usage du bâtiment ou du parc de bâtiments (logements, bureaux, commerces, établissements d’enseignement, centres techniques, …) ;</w:t>
      </w:r>
    </w:p>
    <w:p w14:paraId="4058A053" w14:textId="5C531C16" w:rsidR="00386234" w:rsidRDefault="00386234" w:rsidP="00AD4F1C">
      <w:pPr>
        <w:pStyle w:val="Paragraphedeliste"/>
        <w:numPr>
          <w:ilvl w:val="0"/>
          <w:numId w:val="30"/>
        </w:numPr>
        <w:spacing w:line="240" w:lineRule="auto"/>
        <w:contextualSpacing w:val="0"/>
        <w:jc w:val="both"/>
      </w:pPr>
      <w:r>
        <w:t>les surfaces chauffées et/ou refroidies ;</w:t>
      </w:r>
    </w:p>
    <w:p w14:paraId="230B7036" w14:textId="121A58AD" w:rsidR="00386234" w:rsidRDefault="00386234" w:rsidP="00AD4F1C">
      <w:pPr>
        <w:pStyle w:val="Paragraphedeliste"/>
        <w:numPr>
          <w:ilvl w:val="0"/>
          <w:numId w:val="30"/>
        </w:numPr>
        <w:spacing w:line="240" w:lineRule="auto"/>
        <w:contextualSpacing w:val="0"/>
        <w:jc w:val="both"/>
      </w:pPr>
      <w:r>
        <w:t>les jours et horaires d’ouverture ;</w:t>
      </w:r>
    </w:p>
    <w:p w14:paraId="08DC9C37" w14:textId="2436A6D4" w:rsidR="00386234" w:rsidRDefault="00386234" w:rsidP="00AD4F1C">
      <w:pPr>
        <w:pStyle w:val="Paragraphedeliste"/>
        <w:numPr>
          <w:ilvl w:val="0"/>
          <w:numId w:val="30"/>
        </w:numPr>
        <w:spacing w:line="240" w:lineRule="auto"/>
        <w:contextualSpacing w:val="0"/>
        <w:jc w:val="both"/>
      </w:pPr>
      <w:r>
        <w:t>le niveau de degrés jours unifiés (DJU) utilisés contractuellement comme référence moyenne</w:t>
      </w:r>
      <w:r w:rsidR="00645193">
        <w:t> </w:t>
      </w:r>
      <w:r>
        <w:t>;</w:t>
      </w:r>
    </w:p>
    <w:p w14:paraId="1261A03B" w14:textId="1E6F85BD" w:rsidR="00386234" w:rsidRPr="0019004A" w:rsidRDefault="00386234" w:rsidP="00AD4F1C">
      <w:pPr>
        <w:pStyle w:val="Paragraphedeliste"/>
        <w:numPr>
          <w:ilvl w:val="0"/>
          <w:numId w:val="30"/>
        </w:numPr>
        <w:spacing w:line="240" w:lineRule="auto"/>
        <w:contextualSpacing w:val="0"/>
        <w:jc w:val="both"/>
      </w:pPr>
      <w:r w:rsidRPr="00DC4E73">
        <w:t>les sources de production d’énergie ;</w:t>
      </w:r>
    </w:p>
    <w:p w14:paraId="464CBE64" w14:textId="13E738D4" w:rsidR="00386234" w:rsidRPr="00476E26" w:rsidRDefault="00386234" w:rsidP="00AD4F1C">
      <w:pPr>
        <w:pStyle w:val="Paragraphedeliste"/>
        <w:numPr>
          <w:ilvl w:val="0"/>
          <w:numId w:val="30"/>
        </w:numPr>
        <w:spacing w:line="240" w:lineRule="auto"/>
        <w:contextualSpacing w:val="0"/>
        <w:jc w:val="both"/>
      </w:pPr>
      <w:r w:rsidRPr="0019004A">
        <w:t>les Installations Techniques.</w:t>
      </w:r>
    </w:p>
    <w:p w14:paraId="0930DCB2" w14:textId="48A9FA2E" w:rsidR="00386234" w:rsidRDefault="00386234" w:rsidP="00AD4F1C">
      <w:pPr>
        <w:spacing w:line="240" w:lineRule="auto"/>
        <w:jc w:val="both"/>
      </w:pPr>
      <w:r w:rsidRPr="00AC6B03">
        <w:t xml:space="preserve">La Situation de Référence exprime, d’autre part, les consommations d’énergie observées sur une période historique </w:t>
      </w:r>
      <w:r w:rsidR="00FC4902">
        <w:t>représentative</w:t>
      </w:r>
      <w:r w:rsidR="00CA3E9F">
        <w:t xml:space="preserve"> </w:t>
      </w:r>
      <w:r w:rsidR="0069186A" w:rsidRPr="00AA6A39">
        <w:t>correspond</w:t>
      </w:r>
      <w:r w:rsidR="0069186A">
        <w:t>a</w:t>
      </w:r>
      <w:r w:rsidR="0069186A" w:rsidRPr="00AA6A39">
        <w:t>nt réellement à l’usage normal du Bâtiment ou du parc de Bâtiments</w:t>
      </w:r>
      <w:r w:rsidR="0069186A">
        <w:t xml:space="preserve"> </w:t>
      </w:r>
      <w:r w:rsidR="00CA3E9F">
        <w:t>(</w:t>
      </w:r>
      <w:r w:rsidR="00AA6A39">
        <w:t xml:space="preserve">généralement </w:t>
      </w:r>
      <w:r w:rsidRPr="00AA6A39">
        <w:t>de l’ordre de trois à dix ans</w:t>
      </w:r>
      <w:r w:rsidR="00CA3E9F">
        <w:t>)</w:t>
      </w:r>
      <w:r w:rsidR="00FC4902">
        <w:t>,</w:t>
      </w:r>
      <w:r w:rsidRPr="00AA6A39">
        <w:t xml:space="preserve"> </w:t>
      </w:r>
      <w:r w:rsidR="00CA3E9F" w:rsidRPr="00752760">
        <w:rPr>
          <w:rFonts w:eastAsia="Calibri" w:cstheme="minorHAnsi"/>
          <w:color w:val="000000" w:themeColor="text1"/>
        </w:rPr>
        <w:t>et éventuellement corrigées de tout facteur externe ayant un impact significatif sur la consommation énergétique</w:t>
      </w:r>
      <w:r w:rsidR="00481A80">
        <w:rPr>
          <w:rFonts w:eastAsia="Calibri" w:cstheme="minorHAnsi"/>
          <w:color w:val="000000" w:themeColor="text1"/>
        </w:rPr>
        <w:t>.</w:t>
      </w:r>
    </w:p>
    <w:p w14:paraId="328F4E64" w14:textId="29929576" w:rsidR="00386234" w:rsidRDefault="00386234" w:rsidP="00AD4F1C">
      <w:pPr>
        <w:spacing w:line="240" w:lineRule="auto"/>
        <w:jc w:val="both"/>
      </w:pPr>
      <w:r>
        <w:t>La Situation de Référence est établie par le Maître d’Ouvrage et figure dans le Programme Fonctionnel remis aux candidats pour qu’ils préparent leurs propositions initiales. Elle est, le cas échéant, discutée entre les Parties pendant la phase de dialogue et de négociation, puis finalisée dans le dossier de demande des offres finales (DDOF) et contractualisée.</w:t>
      </w:r>
    </w:p>
    <w:p w14:paraId="03F4BD06" w14:textId="15986C9C" w:rsidR="00A94D0C" w:rsidRPr="001C611C" w:rsidRDefault="00A94D0C" w:rsidP="00A94D0C">
      <w:pPr>
        <w:spacing w:line="240" w:lineRule="auto"/>
        <w:jc w:val="both"/>
        <w:rPr>
          <w:rFonts w:cstheme="minorHAnsi"/>
          <w:color w:val="000000" w:themeColor="text1"/>
        </w:rPr>
      </w:pPr>
      <w:r w:rsidRPr="001C611C">
        <w:rPr>
          <w:rFonts w:cstheme="minorHAnsi"/>
          <w:color w:val="000000" w:themeColor="text1"/>
        </w:rPr>
        <w:t xml:space="preserve">Cette définition </w:t>
      </w:r>
      <w:r>
        <w:rPr>
          <w:rFonts w:cstheme="minorHAnsi"/>
          <w:color w:val="000000" w:themeColor="text1"/>
        </w:rPr>
        <w:t>de la Situation de Référence</w:t>
      </w:r>
      <w:r w:rsidRPr="001C611C">
        <w:rPr>
          <w:rFonts w:cstheme="minorHAnsi"/>
          <w:color w:val="000000" w:themeColor="text1"/>
        </w:rPr>
        <w:t xml:space="preserve"> s’inscrit en </w:t>
      </w:r>
      <w:r w:rsidR="00C51E65">
        <w:rPr>
          <w:rFonts w:cstheme="minorHAnsi"/>
          <w:color w:val="000000" w:themeColor="text1"/>
        </w:rPr>
        <w:t xml:space="preserve">étroite </w:t>
      </w:r>
      <w:r w:rsidRPr="001C611C">
        <w:rPr>
          <w:rFonts w:cstheme="minorHAnsi"/>
          <w:color w:val="000000" w:themeColor="text1"/>
        </w:rPr>
        <w:t xml:space="preserve">cohérence avec celle issue de l’arrêté </w:t>
      </w:r>
      <w:r>
        <w:t>modifié du 29 décembre 2014</w:t>
      </w:r>
      <w:r w:rsidR="00DF1C7C">
        <w:t>, spécifique a</w:t>
      </w:r>
      <w:r>
        <w:t>u dispositif des certificats d'économies d'énergie</w:t>
      </w:r>
      <w:r>
        <w:rPr>
          <w:rFonts w:cstheme="minorHAnsi"/>
          <w:color w:val="000000" w:themeColor="text1"/>
        </w:rPr>
        <w:t> :</w:t>
      </w:r>
    </w:p>
    <w:p w14:paraId="2DBAB209" w14:textId="515956AC" w:rsidR="00A94D0C" w:rsidRPr="00F80D69" w:rsidRDefault="00A94D0C" w:rsidP="00F80D69">
      <w:pPr>
        <w:pBdr>
          <w:left w:val="single" w:sz="4" w:space="4" w:color="auto"/>
        </w:pBdr>
        <w:spacing w:line="240" w:lineRule="auto"/>
        <w:ind w:left="708"/>
        <w:jc w:val="both"/>
        <w:rPr>
          <w:i/>
          <w:iCs/>
        </w:rPr>
      </w:pPr>
      <w:r>
        <w:rPr>
          <w:i/>
          <w:iCs/>
        </w:rPr>
        <w:t>« </w:t>
      </w:r>
      <w:r w:rsidRPr="00F80D69">
        <w:rPr>
          <w:i/>
          <w:iCs/>
        </w:rPr>
        <w:t>1. La situation de référence permet de déterminer la consommation de référence pour le suivi de la performance énergétique des installations couvertes par le contrat.</w:t>
      </w:r>
    </w:p>
    <w:p w14:paraId="14E83710" w14:textId="601A2907" w:rsidR="00A94D0C" w:rsidRPr="00F80D69" w:rsidRDefault="00A94D0C" w:rsidP="00F80D69">
      <w:pPr>
        <w:pBdr>
          <w:left w:val="single" w:sz="4" w:space="4" w:color="auto"/>
        </w:pBdr>
        <w:spacing w:line="240" w:lineRule="auto"/>
        <w:ind w:left="708"/>
        <w:jc w:val="both"/>
        <w:rPr>
          <w:i/>
          <w:iCs/>
        </w:rPr>
      </w:pPr>
      <w:r w:rsidRPr="00F80D69">
        <w:rPr>
          <w:i/>
          <w:iCs/>
        </w:rPr>
        <w:t>Elle tient compte des consommations historiques corrigées de tout facteur externe ayant un impact significatif sur la consommation. L'effet de ces facteurs est jugé à l'aide d'indicateurs pertinents au regard des postes de consommation visés par le contrat.</w:t>
      </w:r>
    </w:p>
    <w:p w14:paraId="13F58D01" w14:textId="66A4E89A" w:rsidR="00A94D0C" w:rsidRPr="00F80D69" w:rsidRDefault="00A94D0C" w:rsidP="00F80D69">
      <w:pPr>
        <w:pBdr>
          <w:left w:val="single" w:sz="4" w:space="4" w:color="auto"/>
        </w:pBdr>
        <w:spacing w:line="240" w:lineRule="auto"/>
        <w:ind w:left="708"/>
        <w:jc w:val="both"/>
        <w:rPr>
          <w:i/>
          <w:iCs/>
        </w:rPr>
      </w:pPr>
      <w:r w:rsidRPr="00F80D69">
        <w:rPr>
          <w:i/>
          <w:iCs/>
        </w:rPr>
        <w:t>La période de référence couvre au minimum trois années calendaires consécutives et récentes précédant la signature du contrat et est représentative de l'utilisation normale du poste de consommation. La période de référence peut être réduite à une ou deux années lorsque seules celles-ci sont représentatives.</w:t>
      </w:r>
    </w:p>
    <w:p w14:paraId="5117A627" w14:textId="77777777" w:rsidR="00A94D0C" w:rsidRDefault="00A94D0C" w:rsidP="00A94D0C">
      <w:pPr>
        <w:pBdr>
          <w:left w:val="single" w:sz="4" w:space="4" w:color="auto"/>
        </w:pBdr>
        <w:spacing w:line="240" w:lineRule="auto"/>
        <w:ind w:left="708"/>
        <w:jc w:val="both"/>
        <w:rPr>
          <w:i/>
          <w:iCs/>
        </w:rPr>
      </w:pPr>
      <w:r w:rsidRPr="00F80D69">
        <w:rPr>
          <w:i/>
          <w:iCs/>
        </w:rPr>
        <w:t xml:space="preserve">La situation de référence est également ajustée en fonction des opérations d'amélioration énergétique qui auraient été mises en œuvre entre la période de référence et la période du contrat, ou pendant la période du contrat et qui ne sont pas comprises dans celui-ci. Pour cela, </w:t>
      </w:r>
      <w:r w:rsidRPr="00F80D69">
        <w:rPr>
          <w:i/>
          <w:iCs/>
        </w:rPr>
        <w:lastRenderedPageBreak/>
        <w:t>le maitre d'ouvrage s'engage à informer le contractant des travaux récemment réalisés, en cours, ou envisagés. Si ceux-ci sont envisagés après le début du contrat, celui-ci doit faire l'objet d'un avenant pour modifier la situation de référence.</w:t>
      </w:r>
    </w:p>
    <w:p w14:paraId="777CA5E2" w14:textId="4E3052D5" w:rsidR="00A94D0C" w:rsidRPr="00F80D69" w:rsidRDefault="00A94D0C" w:rsidP="00F80D69">
      <w:pPr>
        <w:pBdr>
          <w:left w:val="single" w:sz="4" w:space="4" w:color="auto"/>
        </w:pBdr>
        <w:spacing w:line="240" w:lineRule="auto"/>
        <w:ind w:left="708"/>
        <w:jc w:val="both"/>
        <w:rPr>
          <w:i/>
          <w:iCs/>
        </w:rPr>
      </w:pPr>
      <w:r w:rsidRPr="00F80D69">
        <w:rPr>
          <w:i/>
          <w:iCs/>
        </w:rPr>
        <w:t>La consommation de référence retenue est dans tous les cas inférieure ou égale à la consommation historique moyenne sur la période de référence et corrigée des facteurs ayant une incidence sur la consommation visée. La consommation d'énergie de référence est exprimée en kWh/ an et est déterminée selon la méthode la plus appropriée pour le poste de consommation concerné.</w:t>
      </w:r>
      <w:r>
        <w:rPr>
          <w:i/>
          <w:iCs/>
        </w:rPr>
        <w:t> »</w:t>
      </w:r>
    </w:p>
    <w:p w14:paraId="3EBF0EDF" w14:textId="1C0E85E4" w:rsidR="00386234" w:rsidRDefault="00F80D69" w:rsidP="00AD4F1C">
      <w:pPr>
        <w:spacing w:line="240" w:lineRule="auto"/>
        <w:jc w:val="both"/>
      </w:pPr>
      <w:r>
        <w:t>Enfin, l</w:t>
      </w:r>
      <w:r w:rsidR="00386234" w:rsidRPr="004C2987">
        <w:t xml:space="preserve">a « Situation de Référence » </w:t>
      </w:r>
      <w:r w:rsidR="003B26EF">
        <w:t xml:space="preserve">est corrélée, sans </w:t>
      </w:r>
      <w:r w:rsidR="003B26EF" w:rsidRPr="00AC6704">
        <w:t xml:space="preserve">être </w:t>
      </w:r>
      <w:r w:rsidR="003B26EF">
        <w:t xml:space="preserve">nécessairement identique, </w:t>
      </w:r>
      <w:r w:rsidR="00386234" w:rsidRPr="00AC6704">
        <w:t xml:space="preserve">de la « consommation énergétique de référence » mentionnée au 1° du I de l'article L.111-10-3 du </w:t>
      </w:r>
      <w:r w:rsidR="00205F4E">
        <w:t>C</w:t>
      </w:r>
      <w:r w:rsidR="00386234" w:rsidRPr="00AC6704">
        <w:t xml:space="preserve">ode de la construction et de l’habitation </w:t>
      </w:r>
      <w:r w:rsidR="00386234" w:rsidRPr="00B33195">
        <w:t>(Décret tertiaire – Dispositif éco-énergie</w:t>
      </w:r>
      <w:r>
        <w:t xml:space="preserve"> tertiaire</w:t>
      </w:r>
      <w:r w:rsidR="00386234" w:rsidRPr="00B33195">
        <w:t>).</w:t>
      </w:r>
    </w:p>
    <w:p w14:paraId="42AA51DC" w14:textId="7AB83905" w:rsidR="00386234" w:rsidRDefault="00645193" w:rsidP="00AD4F1C">
      <w:pPr>
        <w:pStyle w:val="Titre2"/>
        <w:spacing w:line="240" w:lineRule="auto"/>
      </w:pPr>
      <w:r w:rsidRPr="008B571E">
        <w:fldChar w:fldCharType="begin"/>
      </w:r>
      <w:r w:rsidRPr="008B571E">
        <w:instrText xml:space="preserve"> AUTONUMLGL </w:instrText>
      </w:r>
      <w:bookmarkStart w:id="20" w:name="_Toc112749004"/>
      <w:r w:rsidRPr="008B571E">
        <w:fldChar w:fldCharType="end"/>
      </w:r>
      <w:r w:rsidRPr="008B571E">
        <w:t xml:space="preserve"> </w:t>
      </w:r>
      <w:r w:rsidR="000217AF" w:rsidRPr="000217AF">
        <w:t>Plan de Mesures et Vérifications</w:t>
      </w:r>
      <w:r w:rsidR="000217AF">
        <w:t xml:space="preserve"> et Causes d’Ajustement</w:t>
      </w:r>
      <w:bookmarkEnd w:id="20"/>
      <w:r w:rsidR="000217AF">
        <w:fldChar w:fldCharType="begin"/>
      </w:r>
      <w:r w:rsidR="000217AF">
        <w:instrText xml:space="preserve"> XE "</w:instrText>
      </w:r>
      <w:r w:rsidR="000217AF" w:rsidRPr="00E45BBF">
        <w:instrText>Causes d’Ajustement</w:instrText>
      </w:r>
      <w:r w:rsidR="000217AF">
        <w:instrText xml:space="preserve">" \i </w:instrText>
      </w:r>
      <w:r w:rsidR="000217AF">
        <w:fldChar w:fldCharType="end"/>
      </w:r>
    </w:p>
    <w:p w14:paraId="1B133E64" w14:textId="4BADC6D5" w:rsidR="00386234" w:rsidRDefault="00386234" w:rsidP="000217AF">
      <w:pPr>
        <w:spacing w:line="240" w:lineRule="auto"/>
        <w:jc w:val="both"/>
      </w:pPr>
      <w:r>
        <w:t xml:space="preserve">Le Plan de Mesures et Vérifications </w:t>
      </w:r>
      <w:r w:rsidR="00A37948">
        <w:t xml:space="preserve">(« PMV ») </w:t>
      </w:r>
      <w:r>
        <w:t xml:space="preserve">de la performance énergétique est l’arbitre </w:t>
      </w:r>
      <w:r w:rsidR="00A37948">
        <w:t>du CPE</w:t>
      </w:r>
      <w:r>
        <w:t>. Il définit la méthodologie employée pour vérifier l’atteinte de</w:t>
      </w:r>
      <w:r w:rsidR="00A37948">
        <w:t>s</w:t>
      </w:r>
      <w:r>
        <w:t xml:space="preserve"> performance</w:t>
      </w:r>
      <w:r w:rsidR="00A37948">
        <w:t>s</w:t>
      </w:r>
      <w:r>
        <w:t xml:space="preserve"> garantie</w:t>
      </w:r>
      <w:r w:rsidR="00A37948">
        <w:t>s</w:t>
      </w:r>
      <w:r>
        <w:t>.</w:t>
      </w:r>
    </w:p>
    <w:p w14:paraId="4C4D3128" w14:textId="038AAB3A" w:rsidR="00386234" w:rsidRDefault="00A37948" w:rsidP="000217AF">
      <w:pPr>
        <w:spacing w:line="240" w:lineRule="auto"/>
        <w:jc w:val="both"/>
      </w:pPr>
      <w:r>
        <w:t xml:space="preserve">Le Plan de Mesures et Vérifications </w:t>
      </w:r>
      <w:r w:rsidR="00386234">
        <w:t>doit être partagé par les deux Parties et identifier de manière explicite les limites de l’engagement du Titulaire, de sorte à réduire les risques de litige entre les cocontractants. Le Plan de Mesures et Vérifications est généralement élaboré dans l’offre du Titulaire, selon les exigences formulées par le Maître d’Ouvrage dans son Programme Fonctionnel.</w:t>
      </w:r>
    </w:p>
    <w:p w14:paraId="4863B987" w14:textId="3A43A631" w:rsidR="00386234" w:rsidRDefault="00386234" w:rsidP="000217AF">
      <w:pPr>
        <w:spacing w:line="240" w:lineRule="auto"/>
        <w:jc w:val="both"/>
      </w:pPr>
      <w:r>
        <w:t xml:space="preserve">Le protocole IPMVP (« International Performance </w:t>
      </w:r>
      <w:proofErr w:type="spellStart"/>
      <w:r>
        <w:t>Measurement</w:t>
      </w:r>
      <w:proofErr w:type="spellEnd"/>
      <w:r>
        <w:t xml:space="preserve"> and </w:t>
      </w:r>
      <w:proofErr w:type="spellStart"/>
      <w:r>
        <w:t>Verification</w:t>
      </w:r>
      <w:proofErr w:type="spellEnd"/>
      <w:r>
        <w:t xml:space="preserve"> Protocol ») sert, en l’état, de protocole méthodologique de mesures pour la plupart des acteurs du marché. L’IPMVP introduit un lexique et un niveau de rigueur satisfaisant dans l’élaboration d’un Plan de Mesures et de Vérifications. </w:t>
      </w:r>
      <w:r>
        <w:tab/>
      </w:r>
    </w:p>
    <w:p w14:paraId="489F80BB" w14:textId="78FEF2C6" w:rsidR="000B4104" w:rsidRDefault="000B4104" w:rsidP="000217AF">
      <w:pPr>
        <w:spacing w:line="240" w:lineRule="auto"/>
        <w:jc w:val="both"/>
      </w:pPr>
      <w:r w:rsidRPr="00865AA7">
        <w:t xml:space="preserve">Conclure un CPE ne peut toutefois pas signifier de </w:t>
      </w:r>
      <w:r>
        <w:t>diminuer</w:t>
      </w:r>
      <w:r w:rsidRPr="00865AA7">
        <w:t xml:space="preserve"> pour le </w:t>
      </w:r>
      <w:r>
        <w:t>M</w:t>
      </w:r>
      <w:r w:rsidRPr="00865AA7">
        <w:t>aître d’</w:t>
      </w:r>
      <w:r>
        <w:t>O</w:t>
      </w:r>
      <w:r w:rsidRPr="00865AA7">
        <w:t xml:space="preserve">uvrage l’évolutivité de son bâtiment : l’immeuble doit pouvoir être adapté aux besoins et contraintes des utilisateurs ou aux nouveaux besoins du </w:t>
      </w:r>
      <w:r>
        <w:t>M</w:t>
      </w:r>
      <w:r w:rsidRPr="00865AA7">
        <w:t>aître d’</w:t>
      </w:r>
      <w:r>
        <w:t>O</w:t>
      </w:r>
      <w:r w:rsidRPr="00865AA7">
        <w:t>uvrage lui-même.</w:t>
      </w:r>
    </w:p>
    <w:p w14:paraId="41AAA8D9" w14:textId="6AF83184" w:rsidR="000B4104" w:rsidRDefault="00386234" w:rsidP="000217AF">
      <w:pPr>
        <w:spacing w:line="240" w:lineRule="auto"/>
        <w:jc w:val="both"/>
      </w:pPr>
      <w:r>
        <w:t xml:space="preserve">En </w:t>
      </w:r>
      <w:r w:rsidR="000B4104">
        <w:t>conséquence</w:t>
      </w:r>
      <w:r>
        <w:t xml:space="preserve">, le Plan de Mesures et de Vérifications prévoit, de façon limitative, les cas dans lesquels l’Objectif de Performance Énergétique Réel est ajusté pour tenir compte des modifications des </w:t>
      </w:r>
      <w:r w:rsidR="000B4104">
        <w:t xml:space="preserve">données et </w:t>
      </w:r>
      <w:r>
        <w:t>conditions fixées dans la Situation de Référence</w:t>
      </w:r>
      <w:r w:rsidR="000B4104">
        <w:t xml:space="preserve"> (« Causes d’Ajustement »)</w:t>
      </w:r>
      <w:r>
        <w:t xml:space="preserve">. </w:t>
      </w:r>
      <w:r w:rsidR="000B4104" w:rsidRPr="000B4104">
        <w:t xml:space="preserve">Deux </w:t>
      </w:r>
      <w:r w:rsidR="000B4104">
        <w:t>types de C</w:t>
      </w:r>
      <w:r w:rsidR="000B4104" w:rsidRPr="000B4104">
        <w:t>auses d’</w:t>
      </w:r>
      <w:r w:rsidR="000B4104">
        <w:t>A</w:t>
      </w:r>
      <w:r w:rsidR="000B4104" w:rsidRPr="000B4104">
        <w:t>justement doivent être envisagées dans le contrat : les ajustements récurrents et les ajustements exceptionnel</w:t>
      </w:r>
      <w:r w:rsidR="000B4104">
        <w:t xml:space="preserve">s. </w:t>
      </w:r>
    </w:p>
    <w:p w14:paraId="34D13C65" w14:textId="1BBF0D46" w:rsidR="00386234" w:rsidRDefault="000B4104" w:rsidP="000217AF">
      <w:pPr>
        <w:spacing w:line="240" w:lineRule="auto"/>
        <w:jc w:val="both"/>
      </w:pPr>
      <w:r>
        <w:t>D’une part, d</w:t>
      </w:r>
      <w:r w:rsidRPr="000B4104">
        <w:t>es ajustements annuels doivent être prévus dans des cas limitativement énumérés par le contrat.</w:t>
      </w:r>
      <w:r>
        <w:t xml:space="preserve"> </w:t>
      </w:r>
      <w:r w:rsidR="00386234">
        <w:t xml:space="preserve">Ces ajustements s’appuient sur la batterie de facteurs techniques ayant servi à construire la Situation de Référence. Ils donnent lieu à application de formules mathématiques d’ajustement et n’appellent pas, par principe, de renégociation entre les Parties. </w:t>
      </w:r>
    </w:p>
    <w:p w14:paraId="5A06CC0D" w14:textId="77777777" w:rsidR="00386234" w:rsidRDefault="00386234" w:rsidP="000217AF">
      <w:pPr>
        <w:spacing w:line="240" w:lineRule="auto"/>
        <w:jc w:val="both"/>
      </w:pPr>
      <w:r>
        <w:t>Dans le cadre de l’IPMVP, ces causes d’ajustement sont désignées sous le terme de « variables périodiques » (ou variables indépendantes) et définies comme « les paramètres indépendants (des variations d’un autre paramètre) censés varier régulièrement et qui ont un impact mesurable sur la consommation d’énergie d’un système ou d’un site ».</w:t>
      </w:r>
    </w:p>
    <w:p w14:paraId="51CEF500" w14:textId="77777777" w:rsidR="00386234" w:rsidRDefault="00386234" w:rsidP="000217AF">
      <w:pPr>
        <w:spacing w:line="240" w:lineRule="auto"/>
        <w:jc w:val="both"/>
      </w:pPr>
      <w:r>
        <w:t>Dans la pratique, deux à trois variables d’ajustement essentielles sont généralement retenues et considérées comme suffisantes.</w:t>
      </w:r>
    </w:p>
    <w:p w14:paraId="0B99D885" w14:textId="77777777" w:rsidR="00386234" w:rsidRDefault="00386234" w:rsidP="000217AF">
      <w:pPr>
        <w:spacing w:line="240" w:lineRule="auto"/>
        <w:jc w:val="both"/>
      </w:pPr>
      <w:r>
        <w:t>À titre d’exemple, les variables périodiques ci-dessous sont couramment utilisées dans les projets :</w:t>
      </w:r>
    </w:p>
    <w:p w14:paraId="28141FCA" w14:textId="31199C47" w:rsidR="00386234" w:rsidRDefault="00386234" w:rsidP="000217AF">
      <w:pPr>
        <w:pStyle w:val="Paragraphedeliste"/>
        <w:numPr>
          <w:ilvl w:val="0"/>
          <w:numId w:val="28"/>
        </w:numPr>
        <w:spacing w:line="240" w:lineRule="auto"/>
        <w:contextualSpacing w:val="0"/>
        <w:jc w:val="both"/>
      </w:pPr>
      <w:r>
        <w:lastRenderedPageBreak/>
        <w:t>DJU/Conditions climatiques ;</w:t>
      </w:r>
    </w:p>
    <w:p w14:paraId="27144813" w14:textId="498891C1" w:rsidR="00386234" w:rsidRDefault="00386234" w:rsidP="000217AF">
      <w:pPr>
        <w:pStyle w:val="Paragraphedeliste"/>
        <w:numPr>
          <w:ilvl w:val="0"/>
          <w:numId w:val="28"/>
        </w:numPr>
        <w:spacing w:line="240" w:lineRule="auto"/>
        <w:contextualSpacing w:val="0"/>
        <w:jc w:val="both"/>
      </w:pPr>
      <w:r>
        <w:t>nombre d’occupants/fréquentation ;</w:t>
      </w:r>
    </w:p>
    <w:p w14:paraId="501DC383" w14:textId="6C1C1E37" w:rsidR="00386234" w:rsidRDefault="00386234" w:rsidP="000217AF">
      <w:pPr>
        <w:pStyle w:val="Paragraphedeliste"/>
        <w:numPr>
          <w:ilvl w:val="0"/>
          <w:numId w:val="28"/>
        </w:numPr>
        <w:spacing w:line="240" w:lineRule="auto"/>
        <w:contextualSpacing w:val="0"/>
        <w:jc w:val="both"/>
      </w:pPr>
      <w:r>
        <w:t>consommation d’eau chaude sanitaire ;</w:t>
      </w:r>
    </w:p>
    <w:p w14:paraId="20E264CA" w14:textId="1AF7839D" w:rsidR="00386234" w:rsidRDefault="00386234" w:rsidP="000217AF">
      <w:pPr>
        <w:pStyle w:val="Paragraphedeliste"/>
        <w:numPr>
          <w:ilvl w:val="0"/>
          <w:numId w:val="28"/>
        </w:numPr>
        <w:spacing w:line="240" w:lineRule="auto"/>
        <w:contextualSpacing w:val="0"/>
        <w:jc w:val="both"/>
      </w:pPr>
      <w:r>
        <w:t>nombre d’heures d’éclairage ;</w:t>
      </w:r>
    </w:p>
    <w:p w14:paraId="284157F3" w14:textId="010E70EF" w:rsidR="00386234" w:rsidRDefault="00386234" w:rsidP="000217AF">
      <w:pPr>
        <w:pStyle w:val="Paragraphedeliste"/>
        <w:numPr>
          <w:ilvl w:val="0"/>
          <w:numId w:val="28"/>
        </w:numPr>
        <w:spacing w:line="240" w:lineRule="auto"/>
        <w:contextualSpacing w:val="0"/>
        <w:jc w:val="both"/>
      </w:pPr>
      <w:r>
        <w:t>heure d’occupation ;</w:t>
      </w:r>
    </w:p>
    <w:p w14:paraId="6DD7D273" w14:textId="3A735560" w:rsidR="00386234" w:rsidRDefault="00386234" w:rsidP="000217AF">
      <w:pPr>
        <w:pStyle w:val="Paragraphedeliste"/>
        <w:numPr>
          <w:ilvl w:val="0"/>
          <w:numId w:val="28"/>
        </w:numPr>
        <w:spacing w:line="240" w:lineRule="auto"/>
        <w:contextualSpacing w:val="0"/>
        <w:jc w:val="both"/>
      </w:pPr>
      <w:r>
        <w:t>nombre de jours ouvrés ;</w:t>
      </w:r>
    </w:p>
    <w:p w14:paraId="0BB1896E" w14:textId="70710339" w:rsidR="00386234" w:rsidRDefault="00386234" w:rsidP="000217AF">
      <w:pPr>
        <w:pStyle w:val="Paragraphedeliste"/>
        <w:numPr>
          <w:ilvl w:val="0"/>
          <w:numId w:val="28"/>
        </w:numPr>
        <w:spacing w:line="240" w:lineRule="auto"/>
        <w:contextualSpacing w:val="0"/>
        <w:jc w:val="both"/>
      </w:pPr>
      <w:r>
        <w:t>nombre de jours de réduit ;</w:t>
      </w:r>
    </w:p>
    <w:p w14:paraId="34F1F9FB" w14:textId="17775028" w:rsidR="00386234" w:rsidRDefault="00386234" w:rsidP="000217AF">
      <w:pPr>
        <w:pStyle w:val="Paragraphedeliste"/>
        <w:numPr>
          <w:ilvl w:val="0"/>
          <w:numId w:val="28"/>
        </w:numPr>
        <w:spacing w:line="240" w:lineRule="auto"/>
        <w:contextualSpacing w:val="0"/>
        <w:jc w:val="both"/>
      </w:pPr>
      <w:r>
        <w:t>nombre de jours de grand réduit ;</w:t>
      </w:r>
    </w:p>
    <w:p w14:paraId="420FF4CA" w14:textId="6A71B35A" w:rsidR="00386234" w:rsidRDefault="00386234" w:rsidP="000217AF">
      <w:pPr>
        <w:pStyle w:val="Paragraphedeliste"/>
        <w:numPr>
          <w:ilvl w:val="0"/>
          <w:numId w:val="28"/>
        </w:numPr>
        <w:spacing w:line="240" w:lineRule="auto"/>
        <w:contextualSpacing w:val="0"/>
        <w:jc w:val="both"/>
      </w:pPr>
      <w:r>
        <w:t>ensoleillement ;</w:t>
      </w:r>
    </w:p>
    <w:p w14:paraId="792EC4B8" w14:textId="78123671" w:rsidR="00386234" w:rsidRDefault="00386234" w:rsidP="000217AF">
      <w:pPr>
        <w:pStyle w:val="Paragraphedeliste"/>
        <w:numPr>
          <w:ilvl w:val="0"/>
          <w:numId w:val="28"/>
        </w:numPr>
        <w:spacing w:line="240" w:lineRule="auto"/>
        <w:contextualSpacing w:val="0"/>
        <w:jc w:val="both"/>
      </w:pPr>
      <w:r>
        <w:t>température de consigne intérieure.</w:t>
      </w:r>
    </w:p>
    <w:p w14:paraId="14A6505D" w14:textId="03B37B14" w:rsidR="000B4104" w:rsidRDefault="000B4104" w:rsidP="000B4104">
      <w:pPr>
        <w:spacing w:line="240" w:lineRule="auto"/>
        <w:jc w:val="both"/>
      </w:pPr>
      <w:r>
        <w:t>D’autre part, la vie du bâtiment peut conduire à des modifications des conditions d’utilisation de façon plus ponctuelles ou exceptionnelles. Le Maître d’Ouvrage peut également être conduit à modifier l’usage même de son bâtiment, c’est-à-dire sa destination et ses fonctionnalités.</w:t>
      </w:r>
    </w:p>
    <w:p w14:paraId="3D40E529" w14:textId="0706A1B6" w:rsidR="000B4104" w:rsidRDefault="000B4104" w:rsidP="004F276C">
      <w:pPr>
        <w:spacing w:line="240" w:lineRule="auto"/>
        <w:jc w:val="both"/>
      </w:pPr>
      <w:r>
        <w:t>Certaines modifications peuvent avoir pour effet de d’altérer ou d’améliorer les performances énergétiques garanties par le Titulaire. Un ajustement des objectifs contractuels doit alors être envisagé</w:t>
      </w:r>
      <w:r w:rsidR="004F276C">
        <w:t xml:space="preserve"> </w:t>
      </w:r>
      <w:r>
        <w:t>dans une approche pragmatique</w:t>
      </w:r>
      <w:r w:rsidR="004F276C">
        <w:t>, généralement dans le cadre d’une clause de</w:t>
      </w:r>
      <w:r>
        <w:t xml:space="preserve"> rencontre destinée à permettre </w:t>
      </w:r>
      <w:r w:rsidR="004F276C">
        <w:t>la conclusion d’un</w:t>
      </w:r>
      <w:r>
        <w:t xml:space="preserve"> avenant.</w:t>
      </w:r>
    </w:p>
    <w:p w14:paraId="6DBF7234" w14:textId="0D60DF9D" w:rsidR="000B4104" w:rsidRDefault="000B4104" w:rsidP="000B4104">
      <w:pPr>
        <w:spacing w:line="240" w:lineRule="auto"/>
        <w:jc w:val="both"/>
      </w:pPr>
      <w:r>
        <w:t>Dans le cadre de l’IPMVP, ces causes d’ajustement sont désignées sous le terme de « facteurs statiques » et définies comme étant les « caractéristiques d’un site affectant la consommation d’énergie, dans le périmètre de mesure sélectionné, mais qui ne servent pas comme base d’ajustements aux ajustements périodiques. Ils se composent de caractéristiques fixes, environnementales, de fonctionnement et de maintenance. Ils peuvent être constants ou variables » .</w:t>
      </w:r>
    </w:p>
    <w:p w14:paraId="123DB0CC" w14:textId="6792BB83" w:rsidR="00386234" w:rsidRDefault="00645193" w:rsidP="000217AF">
      <w:pPr>
        <w:pStyle w:val="Titre2"/>
        <w:spacing w:line="240" w:lineRule="auto"/>
      </w:pPr>
      <w:r w:rsidRPr="008B571E">
        <w:fldChar w:fldCharType="begin"/>
      </w:r>
      <w:r w:rsidRPr="008B571E">
        <w:instrText xml:space="preserve"> AUTONUMLGL </w:instrText>
      </w:r>
      <w:bookmarkStart w:id="21" w:name="_Toc112749005"/>
      <w:r w:rsidRPr="008B571E">
        <w:fldChar w:fldCharType="end"/>
      </w:r>
      <w:r w:rsidRPr="008B571E">
        <w:t xml:space="preserve"> </w:t>
      </w:r>
      <w:r w:rsidR="00F13EAE">
        <w:t>Tunnel de Neutralisation</w:t>
      </w:r>
      <w:bookmarkEnd w:id="21"/>
      <w:r w:rsidR="00682397">
        <w:fldChar w:fldCharType="begin"/>
      </w:r>
      <w:r w:rsidR="00682397">
        <w:instrText xml:space="preserve"> XE "</w:instrText>
      </w:r>
      <w:r w:rsidR="00682397" w:rsidRPr="009245C9">
        <w:instrText>Tunnel de Neutralisation</w:instrText>
      </w:r>
      <w:r w:rsidR="00682397">
        <w:instrText xml:space="preserve">" \i </w:instrText>
      </w:r>
      <w:r w:rsidR="00682397">
        <w:fldChar w:fldCharType="end"/>
      </w:r>
    </w:p>
    <w:p w14:paraId="63B42F97" w14:textId="77777777" w:rsidR="00386234" w:rsidRPr="0084710C" w:rsidRDefault="00386234" w:rsidP="000217AF">
      <w:pPr>
        <w:spacing w:line="240" w:lineRule="auto"/>
        <w:jc w:val="both"/>
      </w:pPr>
      <w:r w:rsidRPr="0084710C">
        <w:t>Le CCAG CPE prévoit un tunnel de neutralisation de quelques % avant que la mise en jeu de la Garantie de Performance Énergétique ne débouche sur la réparation par le Titulaire ou sur son intéressement.</w:t>
      </w:r>
    </w:p>
    <w:p w14:paraId="12929783" w14:textId="2C49096A" w:rsidR="00386234" w:rsidRDefault="00386234" w:rsidP="000217AF">
      <w:pPr>
        <w:spacing w:line="240" w:lineRule="auto"/>
        <w:jc w:val="both"/>
      </w:pPr>
      <w:r w:rsidRPr="00AC6B03">
        <w:t xml:space="preserve">Ce tunnel de neutralisation a pour objectif de </w:t>
      </w:r>
      <w:r w:rsidR="00A37948">
        <w:t xml:space="preserve">tenir compte de l’incertitude de la mesure technique, de </w:t>
      </w:r>
      <w:r w:rsidRPr="00AC6B03">
        <w:t>simplifier le suivi et la sanction de la performance énergétique dans la durée, sans remettre en cause le principe de la réparation intégrale.</w:t>
      </w:r>
      <w:r>
        <w:t xml:space="preserve"> </w:t>
      </w:r>
    </w:p>
    <w:p w14:paraId="1CCB4666" w14:textId="15375E26" w:rsidR="00386234" w:rsidRDefault="00645193" w:rsidP="000217AF">
      <w:pPr>
        <w:pStyle w:val="Titre2"/>
        <w:spacing w:line="240" w:lineRule="auto"/>
      </w:pPr>
      <w:r w:rsidRPr="008B571E">
        <w:fldChar w:fldCharType="begin"/>
      </w:r>
      <w:r w:rsidRPr="008B571E">
        <w:instrText xml:space="preserve"> AUTONUMLGL </w:instrText>
      </w:r>
      <w:bookmarkStart w:id="22" w:name="_Toc112749006"/>
      <w:r w:rsidRPr="008B571E">
        <w:fldChar w:fldCharType="end"/>
      </w:r>
      <w:r w:rsidRPr="008B571E">
        <w:t xml:space="preserve"> </w:t>
      </w:r>
      <w:r w:rsidR="00AA5261">
        <w:t>C</w:t>
      </w:r>
      <w:r w:rsidR="00F13EAE" w:rsidRPr="002F17C2">
        <w:t>onséquence</w:t>
      </w:r>
      <w:r w:rsidR="00DB5DCB">
        <w:t>s</w:t>
      </w:r>
      <w:r w:rsidR="00F13EAE" w:rsidRPr="002F17C2">
        <w:t xml:space="preserve"> de la s</w:t>
      </w:r>
      <w:r w:rsidR="00F13EAE" w:rsidRPr="00DB5DCB">
        <w:t>ous</w:t>
      </w:r>
      <w:r w:rsidR="00E27E61">
        <w:t>-p</w:t>
      </w:r>
      <w:r w:rsidR="00F13EAE" w:rsidRPr="00D937CC">
        <w:t>erformance</w:t>
      </w:r>
      <w:r w:rsidR="00682397">
        <w:fldChar w:fldCharType="begin"/>
      </w:r>
      <w:r w:rsidR="00682397">
        <w:instrText xml:space="preserve"> XE "</w:instrText>
      </w:r>
      <w:r w:rsidR="00682397" w:rsidRPr="00990FC3">
        <w:instrText>Sous-performance</w:instrText>
      </w:r>
      <w:r w:rsidR="00682397">
        <w:instrText xml:space="preserve">" </w:instrText>
      </w:r>
      <w:r w:rsidR="00682397">
        <w:fldChar w:fldCharType="end"/>
      </w:r>
      <w:r w:rsidR="00E27E61">
        <w:t> :</w:t>
      </w:r>
      <w:r w:rsidR="00F13EAE">
        <w:t xml:space="preserve"> Garantie de Performance </w:t>
      </w:r>
      <w:r w:rsidR="006B263B">
        <w:t>Énergétique</w:t>
      </w:r>
      <w:bookmarkEnd w:id="22"/>
      <w:r w:rsidR="00682397">
        <w:fldChar w:fldCharType="begin"/>
      </w:r>
      <w:r w:rsidR="00682397">
        <w:instrText xml:space="preserve"> XE "</w:instrText>
      </w:r>
      <w:r w:rsidR="00682397" w:rsidRPr="00395A83">
        <w:instrText>Garantie de Performance Énergétique</w:instrText>
      </w:r>
      <w:r w:rsidR="00682397">
        <w:instrText xml:space="preserve">" \i </w:instrText>
      </w:r>
      <w:r w:rsidR="00682397">
        <w:fldChar w:fldCharType="end"/>
      </w:r>
    </w:p>
    <w:p w14:paraId="40E2A676" w14:textId="08FAF86F" w:rsidR="00D937CC" w:rsidRPr="00D937CC" w:rsidRDefault="00D937CC" w:rsidP="000217AF">
      <w:pPr>
        <w:spacing w:line="240" w:lineRule="auto"/>
        <w:jc w:val="both"/>
        <w:rPr>
          <w:rFonts w:cstheme="minorHAnsi"/>
          <w:color w:val="000000" w:themeColor="text1"/>
        </w:rPr>
      </w:pPr>
      <w:r w:rsidRPr="00D937CC">
        <w:rPr>
          <w:rFonts w:cstheme="minorHAnsi"/>
          <w:color w:val="000000" w:themeColor="text1"/>
        </w:rPr>
        <w:t>L’obligation essentielle du Titulaire est de « garantir » la baisse des consommations d’énergie.</w:t>
      </w:r>
    </w:p>
    <w:p w14:paraId="5218CFBD" w14:textId="2E9317C4" w:rsidR="00D937CC" w:rsidRPr="00D937CC" w:rsidRDefault="00D937CC" w:rsidP="000217AF">
      <w:pPr>
        <w:spacing w:line="240" w:lineRule="auto"/>
        <w:jc w:val="both"/>
        <w:rPr>
          <w:rFonts w:cstheme="minorHAnsi"/>
          <w:color w:val="000000" w:themeColor="text1"/>
        </w:rPr>
      </w:pPr>
      <w:r w:rsidRPr="00D937CC">
        <w:rPr>
          <w:rFonts w:cstheme="minorHAnsi"/>
          <w:color w:val="000000" w:themeColor="text1"/>
        </w:rPr>
        <w:t>La Garantie de Performance Énergétique consiste pour le Titulaire à indemniser le Maître d’Ouvrage de la totalité du préjudice subi pour toute surconsommation par rapport à l’objectif contractuel.</w:t>
      </w:r>
    </w:p>
    <w:p w14:paraId="1CE65B75" w14:textId="77777777" w:rsidR="00D937CC" w:rsidRPr="00D937CC" w:rsidRDefault="00D937CC" w:rsidP="000217AF">
      <w:pPr>
        <w:spacing w:line="240" w:lineRule="auto"/>
        <w:jc w:val="both"/>
        <w:rPr>
          <w:rFonts w:cstheme="minorHAnsi"/>
          <w:color w:val="000000" w:themeColor="text1"/>
        </w:rPr>
      </w:pPr>
      <w:r w:rsidRPr="00D937CC">
        <w:rPr>
          <w:rFonts w:cstheme="minorHAnsi"/>
          <w:color w:val="000000" w:themeColor="text1"/>
        </w:rPr>
        <w:t xml:space="preserve">La mise en jeu de la Garantie de Performance Énergétique prend </w:t>
      </w:r>
      <w:proofErr w:type="gramStart"/>
      <w:r w:rsidRPr="00D937CC">
        <w:rPr>
          <w:rFonts w:cstheme="minorHAnsi"/>
          <w:i/>
          <w:iCs/>
          <w:color w:val="000000" w:themeColor="text1"/>
        </w:rPr>
        <w:t>a</w:t>
      </w:r>
      <w:proofErr w:type="gramEnd"/>
      <w:r w:rsidRPr="00D937CC">
        <w:rPr>
          <w:rFonts w:cstheme="minorHAnsi"/>
          <w:i/>
          <w:iCs/>
          <w:color w:val="000000" w:themeColor="text1"/>
        </w:rPr>
        <w:t xml:space="preserve"> minima</w:t>
      </w:r>
      <w:r w:rsidRPr="00D937CC">
        <w:rPr>
          <w:rFonts w:cstheme="minorHAnsi"/>
          <w:color w:val="000000" w:themeColor="text1"/>
        </w:rPr>
        <w:t xml:space="preserve"> la forme d’une réparation « en numéraire », par le versement d’une indemnité établie sur la base d’un calcul du type : </w:t>
      </w:r>
    </w:p>
    <w:p w14:paraId="4C4F4A28" w14:textId="5C038235" w:rsidR="00D937CC" w:rsidRPr="00D937CC" w:rsidRDefault="00D937CC" w:rsidP="000C6A7B">
      <w:pPr>
        <w:spacing w:line="240" w:lineRule="auto"/>
        <w:jc w:val="center"/>
        <w:rPr>
          <w:rFonts w:cstheme="minorHAnsi"/>
          <w:color w:val="000000" w:themeColor="text1"/>
        </w:rPr>
      </w:pPr>
      <w:r w:rsidRPr="00D937CC">
        <w:rPr>
          <w:noProof/>
          <w:color w:val="000000" w:themeColor="text1"/>
          <w:lang w:eastAsia="fr-FR"/>
        </w:rPr>
        <w:drawing>
          <wp:inline distT="0" distB="0" distL="0" distR="0" wp14:anchorId="0B6B3AB7" wp14:editId="2BB83E65">
            <wp:extent cx="1322364" cy="23304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8957" cy="246543"/>
                    </a:xfrm>
                    <a:prstGeom prst="rect">
                      <a:avLst/>
                    </a:prstGeom>
                    <a:noFill/>
                    <a:ln>
                      <a:noFill/>
                    </a:ln>
                  </pic:spPr>
                </pic:pic>
              </a:graphicData>
            </a:graphic>
          </wp:inline>
        </w:drawing>
      </w:r>
    </w:p>
    <w:p w14:paraId="6FDC3BE3" w14:textId="77777777" w:rsidR="00C5365F" w:rsidRPr="00752760" w:rsidRDefault="00C5365F" w:rsidP="004F276C">
      <w:pPr>
        <w:ind w:left="12" w:firstLine="708"/>
        <w:jc w:val="both"/>
        <w:rPr>
          <w:rFonts w:cstheme="minorHAnsi"/>
          <w:color w:val="000000" w:themeColor="text1"/>
        </w:rPr>
      </w:pPr>
      <w:r w:rsidRPr="00752760">
        <w:rPr>
          <w:rFonts w:cstheme="minorHAnsi"/>
          <w:color w:val="000000" w:themeColor="text1"/>
        </w:rPr>
        <w:lastRenderedPageBreak/>
        <w:t>Avec :</w:t>
      </w:r>
    </w:p>
    <w:p w14:paraId="6EF2784F" w14:textId="77777777" w:rsidR="00C5365F" w:rsidRPr="00752760" w:rsidRDefault="00C5365F" w:rsidP="004F276C">
      <w:pPr>
        <w:pBdr>
          <w:left w:val="single" w:sz="4" w:space="4" w:color="auto"/>
        </w:pBdr>
        <w:ind w:left="720"/>
        <w:jc w:val="both"/>
        <w:rPr>
          <w:i/>
          <w:color w:val="000000" w:themeColor="text1"/>
        </w:rPr>
      </w:pPr>
      <w:r w:rsidRPr="00752760">
        <w:rPr>
          <w:noProof/>
          <w:color w:val="000000" w:themeColor="text1"/>
          <w:position w:val="-6"/>
          <w:lang w:eastAsia="fr-FR"/>
        </w:rPr>
        <w:drawing>
          <wp:inline distT="0" distB="0" distL="0" distR="0" wp14:anchorId="20356D47" wp14:editId="3CADFA29">
            <wp:extent cx="245745" cy="160655"/>
            <wp:effectExtent l="0" t="0" r="0" b="4445"/>
            <wp:docPr id="28" name="Objet 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3"/>
                    <pic:cNvPicPr>
                      <a:picLocks noGrp="1" noRot="1" noChangeAspect="1" noEditPoints="1" noAdjustHandles="1" noChangeArrowheads="1" noChangeShapeType="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182" cy="163556"/>
                    </a:xfrm>
                    <a:prstGeom prst="rect">
                      <a:avLst/>
                    </a:prstGeom>
                    <a:noFill/>
                    <a:ln>
                      <a:noFill/>
                    </a:ln>
                  </pic:spPr>
                </pic:pic>
              </a:graphicData>
            </a:graphic>
          </wp:inline>
        </w:drawing>
      </w:r>
      <w:r w:rsidRPr="00752760">
        <w:rPr>
          <w:color w:val="000000" w:themeColor="text1"/>
        </w:rPr>
        <w:t xml:space="preserve"> = Prix unitaire TTC du MWh (prix total des factures énergétiques concernées, hors part abonnement, divisé par les consommations) moyen sur la Période de Suivi considérée, sauf lorsque les documents particuliers du Marché fixent une autre référence de prix ; </w:t>
      </w:r>
    </w:p>
    <w:p w14:paraId="66FE70D9" w14:textId="77777777" w:rsidR="00C5365F" w:rsidRPr="00752760" w:rsidRDefault="00C5365F" w:rsidP="004F276C">
      <w:pPr>
        <w:pBdr>
          <w:left w:val="single" w:sz="4" w:space="4" w:color="auto"/>
        </w:pBdr>
        <w:ind w:left="720"/>
        <w:jc w:val="both"/>
        <w:rPr>
          <w:rFonts w:cstheme="minorHAnsi"/>
          <w:color w:val="000000" w:themeColor="text1"/>
        </w:rPr>
      </w:pPr>
      <w:r w:rsidRPr="00752760">
        <w:rPr>
          <w:rFonts w:cstheme="minorHAnsi"/>
          <w:i/>
          <w:iCs/>
          <w:color w:val="000000" w:themeColor="text1"/>
        </w:rPr>
        <w:t>I</w:t>
      </w:r>
      <w:r w:rsidRPr="00752760">
        <w:rPr>
          <w:rFonts w:cstheme="minorHAnsi"/>
          <w:i/>
          <w:iCs/>
          <w:color w:val="000000" w:themeColor="text1"/>
          <w:vertAlign w:val="subscript"/>
        </w:rPr>
        <w:t>GPE</w:t>
      </w:r>
      <w:r w:rsidRPr="00752760">
        <w:rPr>
          <w:rFonts w:cstheme="minorHAnsi"/>
          <w:color w:val="000000" w:themeColor="text1"/>
        </w:rPr>
        <w:t xml:space="preserve"> = Montant en euros de l’indemnité due en application de la Garantie de Performance Énergétique sur la Période de Suivi ;</w:t>
      </w:r>
    </w:p>
    <w:p w14:paraId="4A3C224D" w14:textId="77777777" w:rsidR="00C5365F" w:rsidRPr="00752760" w:rsidRDefault="00C5365F" w:rsidP="004F276C">
      <w:pPr>
        <w:pBdr>
          <w:left w:val="single" w:sz="4" w:space="4" w:color="auto"/>
        </w:pBdr>
        <w:ind w:left="720"/>
        <w:jc w:val="both"/>
        <w:rPr>
          <w:rFonts w:eastAsia="Calibri" w:cstheme="minorHAnsi"/>
          <w:color w:val="000000" w:themeColor="text1"/>
        </w:rPr>
      </w:pPr>
      <w:proofErr w:type="spellStart"/>
      <w:r w:rsidRPr="00752760">
        <w:rPr>
          <w:rFonts w:cstheme="minorHAnsi"/>
          <w:i/>
          <w:iCs/>
          <w:color w:val="000000" w:themeColor="text1"/>
        </w:rPr>
        <w:t>Em</w:t>
      </w:r>
      <w:proofErr w:type="spellEnd"/>
      <w:r w:rsidRPr="00752760">
        <w:rPr>
          <w:rFonts w:cstheme="minorHAnsi"/>
          <w:color w:val="000000" w:themeColor="text1"/>
          <w:vertAlign w:val="subscript"/>
        </w:rPr>
        <w:t xml:space="preserve"> </w:t>
      </w:r>
      <w:r w:rsidRPr="00752760">
        <w:rPr>
          <w:rFonts w:cstheme="minorHAnsi"/>
          <w:color w:val="000000" w:themeColor="text1"/>
        </w:rPr>
        <w:t>= quantité d’énergie effectivement consommée et mesurée sur la Période de Suivi (n</w:t>
      </w:r>
      <w:r w:rsidRPr="00752760">
        <w:rPr>
          <w:rFonts w:cstheme="minorHAnsi"/>
          <w:color w:val="000000" w:themeColor="text1"/>
          <w:vertAlign w:val="subscript"/>
        </w:rPr>
        <w:t>i</w:t>
      </w:r>
      <w:r w:rsidRPr="00752760">
        <w:rPr>
          <w:rFonts w:cstheme="minorHAnsi"/>
          <w:color w:val="000000" w:themeColor="text1"/>
        </w:rPr>
        <w:t>), selon la méthode définie dans le Plan de Mesures et de Vérifications (en MWh) ;</w:t>
      </w:r>
    </w:p>
    <w:p w14:paraId="7FFCCC45" w14:textId="77777777" w:rsidR="00C5365F" w:rsidRPr="00752760" w:rsidRDefault="00C5365F" w:rsidP="004F276C">
      <w:pPr>
        <w:pBdr>
          <w:left w:val="single" w:sz="4" w:space="4" w:color="auto"/>
        </w:pBdr>
        <w:ind w:left="720"/>
        <w:jc w:val="both"/>
        <w:rPr>
          <w:rFonts w:cstheme="minorHAnsi"/>
          <w:i/>
          <w:iCs/>
          <w:color w:val="000000" w:themeColor="text1"/>
        </w:rPr>
      </w:pPr>
      <w:proofErr w:type="spellStart"/>
      <w:r w:rsidRPr="00752760">
        <w:rPr>
          <w:rFonts w:cstheme="minorHAnsi"/>
          <w:i/>
          <w:iCs/>
          <w:color w:val="000000" w:themeColor="text1"/>
        </w:rPr>
        <w:t>Eca</w:t>
      </w:r>
      <w:proofErr w:type="spellEnd"/>
      <w:r w:rsidRPr="00752760">
        <w:rPr>
          <w:rFonts w:cstheme="minorHAnsi"/>
          <w:i/>
          <w:iCs/>
          <w:color w:val="000000" w:themeColor="text1"/>
        </w:rPr>
        <w:t xml:space="preserve"> = </w:t>
      </w:r>
      <w:r w:rsidRPr="00752760">
        <w:rPr>
          <w:rFonts w:cstheme="minorHAnsi"/>
          <w:color w:val="000000" w:themeColor="text1"/>
        </w:rPr>
        <w:t xml:space="preserve">quantité d’énergie </w:t>
      </w:r>
      <w:proofErr w:type="spellStart"/>
      <w:r w:rsidRPr="00752760">
        <w:rPr>
          <w:rFonts w:cstheme="minorHAnsi"/>
          <w:color w:val="000000" w:themeColor="text1"/>
        </w:rPr>
        <w:t>Ec</w:t>
      </w:r>
      <w:proofErr w:type="spellEnd"/>
      <w:r w:rsidRPr="00752760">
        <w:rPr>
          <w:rFonts w:cstheme="minorHAnsi"/>
          <w:color w:val="000000" w:themeColor="text1"/>
        </w:rPr>
        <w:t xml:space="preserve"> ajustée pour tenir compte des variations au cours de la Période de Suivi (ni) des conditions fixées dans la Situation de Référence</w:t>
      </w:r>
      <w:r w:rsidRPr="00752760">
        <w:rPr>
          <w:rFonts w:cstheme="minorHAnsi"/>
          <w:i/>
          <w:iCs/>
          <w:color w:val="000000" w:themeColor="text1"/>
        </w:rPr>
        <w:t>.</w:t>
      </w:r>
    </w:p>
    <w:p w14:paraId="18DCB248" w14:textId="14A2552F" w:rsidR="00D937CC" w:rsidRPr="00D937CC" w:rsidRDefault="00D937CC" w:rsidP="001D3954">
      <w:pPr>
        <w:spacing w:line="240" w:lineRule="auto"/>
        <w:jc w:val="both"/>
        <w:rPr>
          <w:rFonts w:cstheme="minorHAnsi"/>
          <w:color w:val="000000" w:themeColor="text1"/>
        </w:rPr>
      </w:pPr>
      <w:r w:rsidRPr="00D937CC">
        <w:rPr>
          <w:rFonts w:cstheme="minorHAnsi"/>
          <w:color w:val="000000" w:themeColor="text1"/>
        </w:rPr>
        <w:t xml:space="preserve">Le Titulaire doit ainsi </w:t>
      </w:r>
      <w:r w:rsidR="00A37948">
        <w:rPr>
          <w:rFonts w:cstheme="minorHAnsi"/>
          <w:color w:val="000000" w:themeColor="text1"/>
        </w:rPr>
        <w:t>verser</w:t>
      </w:r>
      <w:r w:rsidRPr="00D937CC">
        <w:rPr>
          <w:rFonts w:cstheme="minorHAnsi"/>
          <w:color w:val="000000" w:themeColor="text1"/>
        </w:rPr>
        <w:t xml:space="preserve"> au Maître d’Ouvrage une indemnité correspondant à l’équivalent économique de l’écart entre la performance contractuellement fixée et la performance effectivement constatée, toutes choses égales par ailleurs. Cette indemnisation annuelle des surconsommations </w:t>
      </w:r>
      <w:r w:rsidR="007A6C5C">
        <w:rPr>
          <w:rFonts w:cstheme="minorHAnsi"/>
          <w:color w:val="000000" w:themeColor="text1"/>
        </w:rPr>
        <w:t>n’a pas vocation à</w:t>
      </w:r>
      <w:r w:rsidR="007A6C5C" w:rsidRPr="00B33195">
        <w:rPr>
          <w:rFonts w:cstheme="minorHAnsi"/>
          <w:color w:val="000000" w:themeColor="text1"/>
        </w:rPr>
        <w:t xml:space="preserve"> </w:t>
      </w:r>
      <w:r w:rsidRPr="00B33195">
        <w:rPr>
          <w:rFonts w:cstheme="minorHAnsi"/>
          <w:color w:val="000000" w:themeColor="text1"/>
        </w:rPr>
        <w:t>être plafonnée</w:t>
      </w:r>
      <w:r w:rsidRPr="00D937CC">
        <w:rPr>
          <w:rFonts w:cstheme="minorHAnsi"/>
          <w:color w:val="000000" w:themeColor="text1"/>
        </w:rPr>
        <w:t xml:space="preserve"> afin de donner son plein effet à l’obligation de résultat du Titulaire.</w:t>
      </w:r>
    </w:p>
    <w:p w14:paraId="65B02E26" w14:textId="1F887A0F" w:rsidR="00D937CC" w:rsidRPr="00D937CC" w:rsidRDefault="00D937CC" w:rsidP="001D3954">
      <w:pPr>
        <w:spacing w:line="240" w:lineRule="auto"/>
        <w:jc w:val="both"/>
        <w:rPr>
          <w:rFonts w:cstheme="minorHAnsi"/>
          <w:color w:val="000000" w:themeColor="text1"/>
        </w:rPr>
      </w:pPr>
      <w:r w:rsidRPr="00D937CC">
        <w:rPr>
          <w:rFonts w:cstheme="minorHAnsi"/>
          <w:color w:val="000000" w:themeColor="text1"/>
        </w:rPr>
        <w:t>A titre complémentaire ou alternatif, les documents</w:t>
      </w:r>
      <w:r w:rsidR="004223BD">
        <w:rPr>
          <w:rFonts w:cstheme="minorHAnsi"/>
          <w:color w:val="000000" w:themeColor="text1"/>
        </w:rPr>
        <w:t xml:space="preserve"> particuliers du Marché</w:t>
      </w:r>
      <w:r w:rsidRPr="00D937CC">
        <w:rPr>
          <w:rFonts w:cstheme="minorHAnsi"/>
          <w:color w:val="000000" w:themeColor="text1"/>
        </w:rPr>
        <w:t xml:space="preserve"> peuvent prévoir une réparation « en nature », c’est-à-dire</w:t>
      </w:r>
      <w:r w:rsidR="00995A77">
        <w:rPr>
          <w:rFonts w:cstheme="minorHAnsi"/>
          <w:color w:val="000000" w:themeColor="text1"/>
        </w:rPr>
        <w:t xml:space="preserve"> </w:t>
      </w:r>
      <w:r w:rsidRPr="00D937CC">
        <w:rPr>
          <w:rFonts w:cstheme="minorHAnsi"/>
          <w:color w:val="000000" w:themeColor="text1"/>
        </w:rPr>
        <w:t xml:space="preserve">la reprise du </w:t>
      </w:r>
      <w:r w:rsidRPr="00D937CC">
        <w:rPr>
          <w:rFonts w:eastAsia="Calibri" w:cstheme="minorHAnsi"/>
          <w:color w:val="000000" w:themeColor="text1"/>
        </w:rPr>
        <w:t>Bouquet d’Amélioration de la Performance exécuté et/ou des actions complémentaires</w:t>
      </w:r>
      <w:r w:rsidRPr="00D937CC">
        <w:rPr>
          <w:rFonts w:cstheme="minorHAnsi"/>
          <w:color w:val="000000" w:themeColor="text1"/>
        </w:rPr>
        <w:t xml:space="preserve">, financées par le Titulaire et destinées à permettre l’atteinte effective </w:t>
      </w:r>
      <w:r w:rsidR="004223BD">
        <w:rPr>
          <w:rFonts w:cstheme="minorHAnsi"/>
          <w:color w:val="000000" w:themeColor="text1"/>
        </w:rPr>
        <w:t xml:space="preserve">(ou à défaut s’en rapprocher) </w:t>
      </w:r>
      <w:r w:rsidRPr="00D937CC">
        <w:rPr>
          <w:rFonts w:cstheme="minorHAnsi"/>
          <w:color w:val="000000" w:themeColor="text1"/>
        </w:rPr>
        <w:t>de l’objectif contractuel, pour la durée restant à courir du Marché et au-delà pour la durée de vie des Bâtiments.</w:t>
      </w:r>
    </w:p>
    <w:p w14:paraId="32E75846" w14:textId="167B6D8C" w:rsidR="00D937CC" w:rsidRPr="00D937CC" w:rsidRDefault="00D937CC" w:rsidP="001D3954">
      <w:pPr>
        <w:spacing w:line="240" w:lineRule="auto"/>
        <w:jc w:val="both"/>
        <w:rPr>
          <w:rFonts w:cstheme="minorHAnsi"/>
          <w:color w:val="000000" w:themeColor="text1"/>
        </w:rPr>
      </w:pPr>
      <w:r w:rsidRPr="00D937CC">
        <w:rPr>
          <w:rFonts w:cstheme="minorHAnsi"/>
          <w:color w:val="000000" w:themeColor="text1"/>
        </w:rPr>
        <w:t xml:space="preserve">Cette réparation en nature permet de couvrir le préjudice complémentaire du Maître d’Ouvrage, notamment en cas de surconsommation excessive, au-delà du seul préjudice financier lié à la surconsommation. En effet, ce qui constitue </w:t>
      </w:r>
      <w:r w:rsidR="004E087F">
        <w:rPr>
          <w:rFonts w:cstheme="minorHAnsi"/>
          <w:color w:val="000000" w:themeColor="text1"/>
        </w:rPr>
        <w:t>le motif déterminant</w:t>
      </w:r>
      <w:r w:rsidRPr="00D937CC">
        <w:rPr>
          <w:rFonts w:cstheme="minorHAnsi"/>
          <w:color w:val="000000" w:themeColor="text1"/>
        </w:rPr>
        <w:t xml:space="preserve"> ayant conduit le Maître d’Ouvrage à s’engager et investir dans un CPE est bien la diminution effective des consommations énergétiques, et non pas la réalisation de travaux, la fourniture de biens ou la prestation de services.</w:t>
      </w:r>
    </w:p>
    <w:p w14:paraId="7032418E" w14:textId="77777777" w:rsidR="00D937CC" w:rsidRPr="00D937CC" w:rsidRDefault="00D937CC" w:rsidP="001D3954">
      <w:pPr>
        <w:spacing w:line="240" w:lineRule="auto"/>
        <w:jc w:val="both"/>
        <w:rPr>
          <w:rFonts w:cstheme="minorHAnsi"/>
          <w:color w:val="000000" w:themeColor="text1"/>
        </w:rPr>
      </w:pPr>
      <w:r w:rsidRPr="00D937CC">
        <w:rPr>
          <w:rFonts w:cstheme="minorHAnsi"/>
          <w:color w:val="000000" w:themeColor="text1"/>
        </w:rPr>
        <w:t>Ainsi, cette réparation en nature se justifie notamment lorsque l’investissement initial est significatif, ou encore lorsque l’atteinte effective de l’Objectif d’Amélioration de la Performance Énergétique constitue un enjeu politique majeur ou un engagement incontournable auprès des usagers.</w:t>
      </w:r>
    </w:p>
    <w:p w14:paraId="5309D367" w14:textId="77777777" w:rsidR="00D937CC" w:rsidRPr="00D937CC" w:rsidRDefault="00D937CC" w:rsidP="001D3954">
      <w:pPr>
        <w:spacing w:line="240" w:lineRule="auto"/>
        <w:jc w:val="both"/>
        <w:rPr>
          <w:rFonts w:cstheme="minorHAnsi"/>
          <w:color w:val="000000" w:themeColor="text1"/>
        </w:rPr>
      </w:pPr>
      <w:r w:rsidRPr="00D937CC">
        <w:rPr>
          <w:rFonts w:cstheme="minorHAnsi"/>
          <w:color w:val="000000" w:themeColor="text1"/>
        </w:rPr>
        <w:t xml:space="preserve">Par dérogation au principe de réparation intégrale, cette réparation en nature doit néanmoins être plafonnée afin de respecter l’équilibre financier du contrat entre les Parties et responsabiliser le Maître d’Ouvrage qui a </w:t>
      </w:r>
      <w:r w:rsidRPr="00D937CC">
        <w:rPr>
          <w:rFonts w:cstheme="minorHAnsi"/>
          <w:i/>
          <w:color w:val="000000" w:themeColor="text1"/>
        </w:rPr>
        <w:t>in fine</w:t>
      </w:r>
      <w:r w:rsidRPr="00D937CC">
        <w:rPr>
          <w:rFonts w:cstheme="minorHAnsi"/>
          <w:color w:val="000000" w:themeColor="text1"/>
        </w:rPr>
        <w:t xml:space="preserve"> approuvé le Bouquet d’Amélioration de la Performance en choisissant le Titulaire.</w:t>
      </w:r>
    </w:p>
    <w:p w14:paraId="2E08A284" w14:textId="77777777" w:rsidR="00920CF2" w:rsidRDefault="00D937CC" w:rsidP="001D3954">
      <w:pPr>
        <w:shd w:val="clear" w:color="auto" w:fill="FFFFFF" w:themeFill="background1"/>
        <w:spacing w:before="120" w:line="240" w:lineRule="auto"/>
        <w:jc w:val="both"/>
        <w:rPr>
          <w:rFonts w:cstheme="minorHAnsi"/>
          <w:color w:val="000000" w:themeColor="text1"/>
        </w:rPr>
      </w:pPr>
      <w:r w:rsidRPr="00D937CC">
        <w:rPr>
          <w:rFonts w:cstheme="minorHAnsi"/>
          <w:color w:val="000000" w:themeColor="text1"/>
        </w:rPr>
        <w:t xml:space="preserve">La réparation en nature peut être « alternative » au paiement d’une indemnité afin de donner un peu de souplesse au Titulaire qui dispose d’un moyen d’action pour rectifier la surconsommation. </w:t>
      </w:r>
    </w:p>
    <w:p w14:paraId="3B000922" w14:textId="0CF19402" w:rsidR="00D937CC" w:rsidRPr="00D937CC" w:rsidRDefault="00FA5017" w:rsidP="001D3954">
      <w:pPr>
        <w:shd w:val="clear" w:color="auto" w:fill="FFFFFF" w:themeFill="background1"/>
        <w:spacing w:before="120" w:line="240" w:lineRule="auto"/>
        <w:jc w:val="both"/>
        <w:rPr>
          <w:rFonts w:cstheme="minorHAnsi"/>
          <w:color w:val="000000" w:themeColor="text1"/>
        </w:rPr>
      </w:pPr>
      <w:r>
        <w:rPr>
          <w:rFonts w:cstheme="minorHAnsi"/>
          <w:color w:val="000000" w:themeColor="text1"/>
        </w:rPr>
        <w:t>Lorsque les caractéristiques du Marché le justifient, l</w:t>
      </w:r>
      <w:r w:rsidR="00D937CC" w:rsidRPr="00D937CC">
        <w:rPr>
          <w:rFonts w:cstheme="minorHAnsi"/>
          <w:color w:val="000000" w:themeColor="text1"/>
        </w:rPr>
        <w:t>a réparation en nature peut être « complémentaire » au paiement d’une indemnité lorsque la surconsommation apparaît excessive. Le(s) seuil(s) quantitatifs et temporels de déclenchement, ainsi que le plafonnement de cette réparation en nature complémentaire doivent être fixés au cas par cas par les documents particuliers du Marché (en fonction de l’ambition de l’objection, du montant des Actions de Rénovation, des risques portés par les Parties, etc.).</w:t>
      </w:r>
    </w:p>
    <w:p w14:paraId="1594CA87" w14:textId="4A61966F" w:rsidR="00386234" w:rsidRDefault="00645193" w:rsidP="001D3954">
      <w:pPr>
        <w:pStyle w:val="Titre2"/>
        <w:spacing w:line="240" w:lineRule="auto"/>
      </w:pPr>
      <w:r w:rsidRPr="008B571E">
        <w:lastRenderedPageBreak/>
        <w:fldChar w:fldCharType="begin"/>
      </w:r>
      <w:r w:rsidRPr="008B571E">
        <w:instrText xml:space="preserve"> AUTONUMLGL </w:instrText>
      </w:r>
      <w:bookmarkStart w:id="23" w:name="_Toc112749007"/>
      <w:r w:rsidRPr="008B571E">
        <w:fldChar w:fldCharType="end"/>
      </w:r>
      <w:r w:rsidRPr="008B571E">
        <w:t xml:space="preserve"> </w:t>
      </w:r>
      <w:r w:rsidR="00AA5261">
        <w:t>C</w:t>
      </w:r>
      <w:r w:rsidR="009D2027">
        <w:t>onséquences de la sur</w:t>
      </w:r>
      <w:r w:rsidR="00386234">
        <w:t>-</w:t>
      </w:r>
      <w:r w:rsidR="00E27E61">
        <w:t>p</w:t>
      </w:r>
      <w:r w:rsidR="009D2027">
        <w:t>erformance</w:t>
      </w:r>
      <w:r w:rsidR="00682397">
        <w:fldChar w:fldCharType="begin"/>
      </w:r>
      <w:r w:rsidR="00682397">
        <w:instrText xml:space="preserve"> XE "</w:instrText>
      </w:r>
      <w:r w:rsidR="00682397" w:rsidRPr="00220B77">
        <w:instrText>Sur-performance</w:instrText>
      </w:r>
      <w:r w:rsidR="00682397">
        <w:instrText xml:space="preserve">" \i </w:instrText>
      </w:r>
      <w:r w:rsidR="00682397">
        <w:fldChar w:fldCharType="end"/>
      </w:r>
      <w:r w:rsidR="00E27E61">
        <w:t> :</w:t>
      </w:r>
      <w:r w:rsidR="009D2027">
        <w:t xml:space="preserve"> l’intéressement</w:t>
      </w:r>
      <w:bookmarkEnd w:id="23"/>
      <w:r w:rsidR="00682397">
        <w:fldChar w:fldCharType="begin"/>
      </w:r>
      <w:r w:rsidR="00682397">
        <w:instrText xml:space="preserve"> XE "</w:instrText>
      </w:r>
      <w:r w:rsidR="00682397" w:rsidRPr="00480C3C">
        <w:instrText>Intéressement</w:instrText>
      </w:r>
      <w:r w:rsidR="00682397">
        <w:instrText xml:space="preserve">" \i </w:instrText>
      </w:r>
      <w:r w:rsidR="00682397">
        <w:fldChar w:fldCharType="end"/>
      </w:r>
    </w:p>
    <w:p w14:paraId="5CB12C1C" w14:textId="77777777" w:rsidR="005E4447" w:rsidRDefault="00A37948" w:rsidP="00A37948">
      <w:pPr>
        <w:spacing w:line="240" w:lineRule="auto"/>
        <w:jc w:val="both"/>
      </w:pPr>
      <w:r>
        <w:t xml:space="preserve">En cas de sur-performance, un bonus ou intéressement mérite d’être versé à l’opérateur. </w:t>
      </w:r>
    </w:p>
    <w:p w14:paraId="082A63B4" w14:textId="46F268F4" w:rsidR="00386234" w:rsidRDefault="00386234" w:rsidP="001D3954">
      <w:pPr>
        <w:spacing w:line="240" w:lineRule="auto"/>
        <w:jc w:val="both"/>
      </w:pPr>
      <w:r>
        <w:t>La cl</w:t>
      </w:r>
      <w:r w:rsidR="00A37948">
        <w:t>é</w:t>
      </w:r>
      <w:r>
        <w:t xml:space="preserve"> de répartition de l’intéressement du Titulaire à la surperformance est classiquement fixée à 50% pour le Titulaire et 50% pour le Maître d’Ouvrage. Un partage différent peut être mis en place pour </w:t>
      </w:r>
      <w:r w:rsidR="00A37948">
        <w:t xml:space="preserve">tenir compte des </w:t>
      </w:r>
      <w:r w:rsidR="005E4447">
        <w:t>particularités</w:t>
      </w:r>
      <w:r w:rsidR="00A37948">
        <w:t xml:space="preserve"> de</w:t>
      </w:r>
      <w:r w:rsidR="005E4447">
        <w:t xml:space="preserve"> </w:t>
      </w:r>
      <w:r w:rsidR="00A37948">
        <w:t xml:space="preserve">chaque </w:t>
      </w:r>
      <w:r w:rsidR="005E4447">
        <w:t>projet</w:t>
      </w:r>
      <w:r w:rsidR="00A37948">
        <w:t xml:space="preserve"> (place de</w:t>
      </w:r>
      <w:r>
        <w:t xml:space="preserve"> l’occupant des locaux s</w:t>
      </w:r>
      <w:r w:rsidR="00A37948">
        <w:t>’</w:t>
      </w:r>
      <w:r>
        <w:t>i</w:t>
      </w:r>
      <w:r w:rsidR="00A37948">
        <w:t>l est différent du</w:t>
      </w:r>
      <w:r>
        <w:t xml:space="preserve"> Maître d’Ouvrage lui-même</w:t>
      </w:r>
      <w:r w:rsidR="00A37948">
        <w:t>, rôle sp</w:t>
      </w:r>
      <w:r w:rsidR="005E4447">
        <w:t>écifique de l’opérateur, …)</w:t>
      </w:r>
      <w:r>
        <w:t>.</w:t>
      </w:r>
    </w:p>
    <w:p w14:paraId="5D3FAEE1" w14:textId="56BE0929" w:rsidR="00386234" w:rsidRDefault="005E4447" w:rsidP="001D3954">
      <w:pPr>
        <w:spacing w:line="240" w:lineRule="auto"/>
        <w:jc w:val="both"/>
      </w:pPr>
      <w:r>
        <w:t>I</w:t>
      </w:r>
      <w:r w:rsidR="00386234">
        <w:t xml:space="preserve">l est également possible de prévoir </w:t>
      </w:r>
      <w:r>
        <w:t>des seuils de l’</w:t>
      </w:r>
      <w:r w:rsidR="00386234">
        <w:t>intéressement en fonction du pourcentage de dépassement de l’Objectif de Performance Énergétique Réelle.</w:t>
      </w:r>
    </w:p>
    <w:p w14:paraId="73D7EA1A" w14:textId="0C5B411F" w:rsidR="00386234" w:rsidRDefault="00645193" w:rsidP="001D3954">
      <w:pPr>
        <w:pStyle w:val="Titre2"/>
        <w:spacing w:line="240" w:lineRule="auto"/>
      </w:pPr>
      <w:r w:rsidRPr="008B571E">
        <w:fldChar w:fldCharType="begin"/>
      </w:r>
      <w:r w:rsidRPr="008B571E">
        <w:instrText xml:space="preserve"> AUTONUMLGL </w:instrText>
      </w:r>
      <w:bookmarkStart w:id="24" w:name="_Toc112749008"/>
      <w:r w:rsidRPr="008B571E">
        <w:fldChar w:fldCharType="end"/>
      </w:r>
      <w:r w:rsidRPr="008B571E">
        <w:t xml:space="preserve"> </w:t>
      </w:r>
      <w:r w:rsidR="00AA5261">
        <w:t>A</w:t>
      </w:r>
      <w:r w:rsidR="00845FDF">
        <w:t>ctions de sensibilisation</w:t>
      </w:r>
      <w:r w:rsidR="00682397">
        <w:fldChar w:fldCharType="begin"/>
      </w:r>
      <w:r w:rsidR="00682397">
        <w:instrText xml:space="preserve"> XE "</w:instrText>
      </w:r>
      <w:r w:rsidR="00682397" w:rsidRPr="00AE1AF2">
        <w:instrText>Sensibilisation</w:instrText>
      </w:r>
      <w:r w:rsidR="00682397">
        <w:instrText xml:space="preserve">" \i </w:instrText>
      </w:r>
      <w:r w:rsidR="00682397">
        <w:fldChar w:fldCharType="end"/>
      </w:r>
      <w:r w:rsidR="00845FDF">
        <w:t xml:space="preserve"> des occupants et de formatio</w:t>
      </w:r>
      <w:r w:rsidR="00FF70E5">
        <w:t>n des agents techniques</w:t>
      </w:r>
      <w:bookmarkEnd w:id="24"/>
    </w:p>
    <w:p w14:paraId="3D3CECBE" w14:textId="5DBC649B" w:rsidR="00386234" w:rsidRDefault="00386234" w:rsidP="001D3954">
      <w:pPr>
        <w:spacing w:line="240" w:lineRule="auto"/>
        <w:jc w:val="both"/>
      </w:pPr>
      <w:r>
        <w:t xml:space="preserve">Afin de donner sa pleine portée aux missions permettant d’améliorer la performance énergétique des Bâtiments, il est </w:t>
      </w:r>
      <w:r w:rsidR="005E4447">
        <w:t>recommandé</w:t>
      </w:r>
      <w:r>
        <w:t xml:space="preserve"> de charger le Titulaire d’une mission de sensibilisation des occupants et de formation des agents techniques, accompagnant les Actions de Rénovation et l’exploitation-maintenance des Installations Techniques.</w:t>
      </w:r>
    </w:p>
    <w:p w14:paraId="65531441" w14:textId="1F6C6EAB" w:rsidR="00386234" w:rsidRDefault="00386234" w:rsidP="001D3954">
      <w:pPr>
        <w:spacing w:line="240" w:lineRule="auto"/>
        <w:jc w:val="both"/>
      </w:pPr>
      <w:r>
        <w:t>Dans la plupart des cas, le Maître d’Ouvrage invite les candidats, dans le cadre de la consultation, à proposer une démarche de sensibilisation et de formation et évalue la pertinence de cette démarche grâce à un sous-critère d’attribution dédié. Les exigences du Maître d’Ouvrage relatives à cette action de sensibilisation et de formation sont prévues au Programme Fonctionnel. Selon les projets et les attentes du Maître d’Ouvrage, une plus ou moins grande latitude peut donc être laissée aux candidats.</w:t>
      </w:r>
    </w:p>
    <w:p w14:paraId="3F3CFCA5" w14:textId="1DDE603A" w:rsidR="00386234" w:rsidRDefault="00386234" w:rsidP="001D3954">
      <w:pPr>
        <w:spacing w:line="240" w:lineRule="auto"/>
        <w:jc w:val="both"/>
      </w:pPr>
      <w:r>
        <w:t>Le Maître d’Ouvrage peut également choisir de fixer le contenu de l’action de sensibilisation et dans les documents de la consultation, sans la soumettre aux propositions des candidats, les missions s’imposant alors au Titulaire telles que décrites au Programme Fonctionnel.</w:t>
      </w:r>
    </w:p>
    <w:p w14:paraId="21B52986" w14:textId="77777777" w:rsidR="00386234" w:rsidRDefault="00386234" w:rsidP="001D3954">
      <w:pPr>
        <w:spacing w:line="240" w:lineRule="auto"/>
        <w:jc w:val="both"/>
      </w:pPr>
      <w:r>
        <w:t>Il est pertinent de démarrer les actions de formation et de sensibilisation dès le démarrage du Marché, afin que les agents et usagers soient correctement préparés aux changements et de ne pas perdre de temps sur la Période de Neutralisation.</w:t>
      </w:r>
    </w:p>
    <w:p w14:paraId="3E06BC84" w14:textId="046632BF" w:rsidR="00386234" w:rsidRPr="00645193" w:rsidRDefault="00645193" w:rsidP="001D3954">
      <w:pPr>
        <w:pStyle w:val="Titre2"/>
        <w:spacing w:line="240" w:lineRule="auto"/>
      </w:pPr>
      <w:r w:rsidRPr="008B571E">
        <w:fldChar w:fldCharType="begin"/>
      </w:r>
      <w:r w:rsidRPr="008B571E">
        <w:instrText xml:space="preserve"> AUTONUMLGL </w:instrText>
      </w:r>
      <w:bookmarkStart w:id="25" w:name="_Toc112749009"/>
      <w:r w:rsidRPr="008B571E">
        <w:fldChar w:fldCharType="end"/>
      </w:r>
      <w:r w:rsidRPr="008B571E">
        <w:t xml:space="preserve"> </w:t>
      </w:r>
      <w:r w:rsidR="00AA5261">
        <w:t>G</w:t>
      </w:r>
      <w:r>
        <w:t>arantie financière</w:t>
      </w:r>
      <w:r w:rsidR="00682397">
        <w:fldChar w:fldCharType="begin"/>
      </w:r>
      <w:r w:rsidR="00682397">
        <w:instrText xml:space="preserve"> XE "</w:instrText>
      </w:r>
      <w:r w:rsidR="00682397" w:rsidRPr="003037F7">
        <w:instrText>Garantie financière</w:instrText>
      </w:r>
      <w:r w:rsidR="00682397">
        <w:instrText xml:space="preserve">" \i </w:instrText>
      </w:r>
      <w:r w:rsidR="00682397">
        <w:fldChar w:fldCharType="end"/>
      </w:r>
      <w:r>
        <w:t xml:space="preserve"> de la Garantie de Performance </w:t>
      </w:r>
      <w:r w:rsidR="00682397">
        <w:t>Énergétique</w:t>
      </w:r>
      <w:bookmarkEnd w:id="25"/>
    </w:p>
    <w:p w14:paraId="237AEEB1" w14:textId="77777777" w:rsidR="00386234" w:rsidRDefault="00386234" w:rsidP="001D3954">
      <w:pPr>
        <w:spacing w:line="240" w:lineRule="auto"/>
        <w:jc w:val="both"/>
      </w:pPr>
      <w:r>
        <w:t xml:space="preserve">Selon l’article L.2191-7 du Code de la commande publique, « </w:t>
      </w:r>
      <w:r w:rsidRPr="001D3954">
        <w:rPr>
          <w:i/>
        </w:rPr>
        <w:t xml:space="preserve">les marchés publics peuvent prévoir, à la charge du titulaire, une retenue de garantie, une garantie à première demande ou une caution personnelle et solidaire, dans les conditions et sous réserve des exceptions prévues par voie réglementaire </w:t>
      </w:r>
      <w:r>
        <w:t>».</w:t>
      </w:r>
    </w:p>
    <w:p w14:paraId="3E23D4DE" w14:textId="77777777" w:rsidR="00386234" w:rsidRDefault="00386234" w:rsidP="001D3954">
      <w:pPr>
        <w:spacing w:line="240" w:lineRule="auto"/>
        <w:jc w:val="both"/>
      </w:pPr>
      <w:r>
        <w:t xml:space="preserve">Pris en application de cette disposition, l’article R.2191-43 du Code de la commande publique précise que « </w:t>
      </w:r>
      <w:r w:rsidRPr="001D3954">
        <w:rPr>
          <w:i/>
        </w:rPr>
        <w:t>Le marché peut prévoir d'autres garanties que celle prévues à la sous-section 1 pour l'exécution d'un engagement particulier</w:t>
      </w:r>
      <w:r>
        <w:t xml:space="preserve"> ».</w:t>
      </w:r>
    </w:p>
    <w:p w14:paraId="7FAA16F2" w14:textId="62EA35FB" w:rsidR="00386234" w:rsidRDefault="00386234" w:rsidP="001D3954">
      <w:pPr>
        <w:spacing w:line="240" w:lineRule="auto"/>
        <w:jc w:val="both"/>
      </w:pPr>
      <w:r>
        <w:t>Est par la même envisageable la mise en place d’une garantie financière (garantie autonome à première demande, cautionnement, etc.)</w:t>
      </w:r>
      <w:r w:rsidR="005E4447">
        <w:t> </w:t>
      </w:r>
      <w:r>
        <w:t>– destinée à garantir le Maître d’Ouvrage contre tout défaut de paiement de la Garantie de Performance Énergétique, le Maître d’Ouvrage pouvant alors actionner le garant plutôt que le Titulaire lui-même pour recouvrer les sommes qui lui sont dues.</w:t>
      </w:r>
    </w:p>
    <w:p w14:paraId="1033C03E" w14:textId="3B3F3B00" w:rsidR="00386234" w:rsidRDefault="00386234" w:rsidP="001D3954">
      <w:pPr>
        <w:spacing w:line="240" w:lineRule="auto"/>
        <w:jc w:val="both"/>
      </w:pPr>
      <w:r>
        <w:t>Cette possibilité offerte au Maître d’Ouvrage s’ajoute à la faculté qu’on les personnes publiques de recouvrer ses créances par l’émission d’un titre de recettes exécutoire, dont il est toutefois admis de longue date que tout recours contre lui en suspend l'exécution.</w:t>
      </w:r>
    </w:p>
    <w:p w14:paraId="5E4632DF" w14:textId="0BBAE5C3" w:rsidR="00AC6B03" w:rsidRPr="00702FDE" w:rsidRDefault="00AC6B03" w:rsidP="001D3954">
      <w:pPr>
        <w:pStyle w:val="Titre2"/>
        <w:spacing w:line="240" w:lineRule="auto"/>
      </w:pPr>
      <w:r w:rsidRPr="00AC6704">
        <w:lastRenderedPageBreak/>
        <w:fldChar w:fldCharType="begin"/>
      </w:r>
      <w:r w:rsidRPr="00702FDE">
        <w:instrText xml:space="preserve"> AUTONUMLGL </w:instrText>
      </w:r>
      <w:bookmarkStart w:id="26" w:name="_Toc112749010"/>
      <w:r w:rsidRPr="00AC6704">
        <w:fldChar w:fldCharType="end"/>
      </w:r>
      <w:r w:rsidRPr="007508B5">
        <w:t xml:space="preserve"> </w:t>
      </w:r>
      <w:r w:rsidR="00AA5261">
        <w:t>R</w:t>
      </w:r>
      <w:r w:rsidRPr="007508B5">
        <w:t>ésiliation</w:t>
      </w:r>
      <w:r w:rsidR="00682397">
        <w:fldChar w:fldCharType="begin"/>
      </w:r>
      <w:r w:rsidR="00682397">
        <w:instrText xml:space="preserve"> XE "</w:instrText>
      </w:r>
      <w:r w:rsidR="00682397" w:rsidRPr="00855722">
        <w:instrText>Résiliation</w:instrText>
      </w:r>
      <w:r w:rsidR="00682397">
        <w:instrText xml:space="preserve">" \i </w:instrText>
      </w:r>
      <w:r w:rsidR="00682397">
        <w:fldChar w:fldCharType="end"/>
      </w:r>
      <w:r w:rsidRPr="007508B5">
        <w:t xml:space="preserve"> pour faute du Titulaire</w:t>
      </w:r>
      <w:bookmarkEnd w:id="26"/>
      <w:r w:rsidR="00682397">
        <w:fldChar w:fldCharType="begin"/>
      </w:r>
      <w:r w:rsidR="00682397">
        <w:instrText xml:space="preserve"> XE "</w:instrText>
      </w:r>
      <w:r w:rsidR="00682397" w:rsidRPr="00EA418C">
        <w:instrText>Faute du Titulaire</w:instrText>
      </w:r>
      <w:r w:rsidR="00682397">
        <w:instrText xml:space="preserve">" \i </w:instrText>
      </w:r>
      <w:r w:rsidR="00682397">
        <w:fldChar w:fldCharType="end"/>
      </w:r>
    </w:p>
    <w:p w14:paraId="461A7D03" w14:textId="77777777" w:rsidR="00AC6B03" w:rsidRPr="009718A7" w:rsidRDefault="00AC6B03" w:rsidP="001D3954">
      <w:pPr>
        <w:pStyle w:val="Titre3"/>
        <w:spacing w:line="240" w:lineRule="auto"/>
      </w:pPr>
      <w:r w:rsidRPr="00AC6704">
        <w:fldChar w:fldCharType="begin"/>
      </w:r>
      <w:r>
        <w:instrText xml:space="preserve"> AUTONUMLGL </w:instrText>
      </w:r>
      <w:bookmarkStart w:id="27" w:name="_Toc112749011"/>
      <w:r w:rsidRPr="00AC6704">
        <w:fldChar w:fldCharType="end"/>
      </w:r>
      <w:r>
        <w:t xml:space="preserve"> </w:t>
      </w:r>
      <w:r w:rsidRPr="008509EF">
        <w:t>Hypothèses de résiliation pour faute</w:t>
      </w:r>
      <w:bookmarkEnd w:id="27"/>
    </w:p>
    <w:p w14:paraId="013ABA6E" w14:textId="4E25D0E6" w:rsidR="00AC6B03" w:rsidRPr="009A74C1" w:rsidRDefault="00AC6B03" w:rsidP="001D3954">
      <w:pPr>
        <w:spacing w:line="240" w:lineRule="auto"/>
        <w:jc w:val="both"/>
        <w:rPr>
          <w:rFonts w:cstheme="minorHAnsi"/>
          <w:color w:val="000000" w:themeColor="text1"/>
        </w:rPr>
      </w:pPr>
      <w:r w:rsidRPr="009A74C1">
        <w:rPr>
          <w:rFonts w:cstheme="minorHAnsi"/>
          <w:color w:val="000000" w:themeColor="text1"/>
        </w:rPr>
        <w:t>Aux cas de résiliation pour faute du Titulaire classiques d’un marché public, et figurant au CCAG Travaux et au CCAG FCS, il convient d’ajouter des cas spécifiques au MPGP et au CPE.</w:t>
      </w:r>
    </w:p>
    <w:p w14:paraId="450EB560" w14:textId="4EB64117" w:rsidR="00AC6B03" w:rsidRPr="009A74C1" w:rsidRDefault="00AC6B03" w:rsidP="001D3954">
      <w:pPr>
        <w:spacing w:line="240" w:lineRule="auto"/>
        <w:jc w:val="both"/>
        <w:rPr>
          <w:rFonts w:cstheme="minorHAnsi"/>
          <w:color w:val="000000" w:themeColor="text1"/>
        </w:rPr>
      </w:pPr>
      <w:r w:rsidRPr="007A6C5C">
        <w:rPr>
          <w:rFonts w:cstheme="minorHAnsi"/>
          <w:color w:val="000000" w:themeColor="text1"/>
        </w:rPr>
        <w:t xml:space="preserve">Ainsi, </w:t>
      </w:r>
      <w:r w:rsidR="001555EE">
        <w:rPr>
          <w:rFonts w:cstheme="minorHAnsi"/>
          <w:color w:val="000000" w:themeColor="text1"/>
        </w:rPr>
        <w:t>c</w:t>
      </w:r>
      <w:r w:rsidRPr="007A6C5C">
        <w:rPr>
          <w:rFonts w:cstheme="minorHAnsi"/>
          <w:color w:val="000000" w:themeColor="text1"/>
        </w:rPr>
        <w:t xml:space="preserve">es cas </w:t>
      </w:r>
      <w:r w:rsidR="001555EE">
        <w:rPr>
          <w:rFonts w:cstheme="minorHAnsi"/>
          <w:color w:val="000000" w:themeColor="text1"/>
        </w:rPr>
        <w:t xml:space="preserve">spécifiques </w:t>
      </w:r>
      <w:r w:rsidRPr="007A6C5C">
        <w:rPr>
          <w:rFonts w:cstheme="minorHAnsi"/>
          <w:color w:val="000000" w:themeColor="text1"/>
        </w:rPr>
        <w:t>de résiliation formalisent la possibilité pour le Maître d’Ouvrage de résilier le Marché aux torts du Titulaire si celui-ci méconnaît de manière grave et récurrente les engagements qu’il contracte et qui font l’essence du MPGP, à savoir les Objectifs de Performance et le Niveau de Service Contractuel qui les accompagne.</w:t>
      </w:r>
      <w:r w:rsidRPr="009A74C1">
        <w:rPr>
          <w:rFonts w:cstheme="minorHAnsi"/>
          <w:color w:val="000000" w:themeColor="text1"/>
        </w:rPr>
        <w:t xml:space="preserve"> </w:t>
      </w:r>
    </w:p>
    <w:p w14:paraId="6050EC2E" w14:textId="77777777" w:rsidR="00AC6B03" w:rsidRPr="008509EF" w:rsidRDefault="00AC6B03" w:rsidP="001D3954">
      <w:pPr>
        <w:pStyle w:val="Titre3"/>
        <w:spacing w:line="240" w:lineRule="auto"/>
        <w:rPr>
          <w:smallCaps/>
          <w:lang w:eastAsia="en-US"/>
        </w:rPr>
      </w:pPr>
      <w:r>
        <w:fldChar w:fldCharType="begin"/>
      </w:r>
      <w:r>
        <w:instrText xml:space="preserve"> AUTONUMLGL </w:instrText>
      </w:r>
      <w:bookmarkStart w:id="28" w:name="_Toc112749012"/>
      <w:r>
        <w:fldChar w:fldCharType="end"/>
      </w:r>
      <w:r>
        <w:t xml:space="preserve"> </w:t>
      </w:r>
      <w:r w:rsidRPr="008509EF">
        <w:t>Conséquences de la résiliation pour faute</w:t>
      </w:r>
      <w:bookmarkEnd w:id="28"/>
    </w:p>
    <w:p w14:paraId="1B8190E2" w14:textId="1BCBE4EB" w:rsidR="00AC6B03" w:rsidRPr="00703582" w:rsidRDefault="00AC6B03" w:rsidP="001D3954">
      <w:pPr>
        <w:spacing w:after="120" w:line="240" w:lineRule="auto"/>
        <w:jc w:val="both"/>
        <w:rPr>
          <w:rFonts w:cstheme="minorHAnsi"/>
          <w:color w:val="000000" w:themeColor="text1"/>
        </w:rPr>
      </w:pPr>
      <w:r w:rsidRPr="00703582">
        <w:rPr>
          <w:rFonts w:cstheme="minorHAnsi"/>
          <w:color w:val="000000" w:themeColor="text1"/>
        </w:rPr>
        <w:t>L</w:t>
      </w:r>
      <w:r w:rsidR="00703582" w:rsidRPr="00703582">
        <w:rPr>
          <w:rFonts w:cstheme="minorHAnsi"/>
          <w:color w:val="000000" w:themeColor="text1"/>
        </w:rPr>
        <w:t xml:space="preserve">e CCAG CPE prévoit une </w:t>
      </w:r>
      <w:r w:rsidRPr="00703582">
        <w:rPr>
          <w:rFonts w:cstheme="minorHAnsi"/>
          <w:color w:val="000000" w:themeColor="text1"/>
        </w:rPr>
        <w:t xml:space="preserve">indemnité </w:t>
      </w:r>
      <w:r w:rsidR="00703582" w:rsidRPr="00703582">
        <w:rPr>
          <w:rFonts w:cstheme="minorHAnsi"/>
          <w:color w:val="000000" w:themeColor="text1"/>
        </w:rPr>
        <w:t>qui</w:t>
      </w:r>
      <w:r w:rsidRPr="00703582">
        <w:rPr>
          <w:rFonts w:cstheme="minorHAnsi"/>
          <w:color w:val="000000" w:themeColor="text1"/>
        </w:rPr>
        <w:t xml:space="preserve"> est le pendant de la Garantie de Performance Énergétique.</w:t>
      </w:r>
    </w:p>
    <w:p w14:paraId="549FDE5B" w14:textId="1098870A" w:rsidR="00AC6B03" w:rsidRPr="00703582" w:rsidRDefault="00AC6B03" w:rsidP="001D3954">
      <w:pPr>
        <w:spacing w:line="240" w:lineRule="auto"/>
        <w:jc w:val="both"/>
        <w:rPr>
          <w:rFonts w:cstheme="minorHAnsi"/>
          <w:color w:val="000000" w:themeColor="text1"/>
        </w:rPr>
      </w:pPr>
      <w:r w:rsidRPr="00703582">
        <w:rPr>
          <w:rFonts w:cstheme="minorHAnsi"/>
          <w:color w:val="000000" w:themeColor="text1"/>
        </w:rPr>
        <w:t>Elle consiste à mettre à la charge du Titulaire, en cas de résiliation pour faute, une indemnité visant à compenser la perte de la Garantie de Performance Énergétique dont il aurait été redevable envers le Maître d’Ouvrage jusqu’à la fin du Marché, si celui-ci n’avait pas été résilié de manière anticipée.</w:t>
      </w:r>
    </w:p>
    <w:p w14:paraId="14222200" w14:textId="4681441A" w:rsidR="00AC6B03" w:rsidRPr="00703582" w:rsidRDefault="00AC6B03" w:rsidP="001D3954">
      <w:pPr>
        <w:spacing w:line="240" w:lineRule="auto"/>
        <w:jc w:val="both"/>
        <w:rPr>
          <w:rFonts w:cstheme="minorHAnsi"/>
          <w:color w:val="000000" w:themeColor="text1"/>
        </w:rPr>
      </w:pPr>
      <w:r w:rsidRPr="00703582">
        <w:rPr>
          <w:rFonts w:cstheme="minorHAnsi"/>
          <w:color w:val="000000" w:themeColor="text1"/>
        </w:rPr>
        <w:t xml:space="preserve">Pour ce faire, l’indemnité est calculée sur la base des surconsommations constatées au cours de l’exécution du Marché, jusqu’à sa résiliation, surconsommations dont il est calculé la moyenne. L’indemnité est égale à la surconsommation moyenne, multipliée par le prix de l’énergie au moment de la résiliation. En d’autres termes, </w:t>
      </w:r>
      <w:r w:rsidR="005E4447">
        <w:rPr>
          <w:rFonts w:cstheme="minorHAnsi"/>
          <w:color w:val="000000" w:themeColor="text1"/>
        </w:rPr>
        <w:t>l</w:t>
      </w:r>
      <w:r w:rsidRPr="00703582">
        <w:rPr>
          <w:rFonts w:cstheme="minorHAnsi"/>
          <w:color w:val="000000" w:themeColor="text1"/>
        </w:rPr>
        <w:t>e Titulaire indemnise le Maître d’Ouvrage comme si ce dernier avait bénéficié de la Garantie de Performance Énergétique jusqu’à la fin du Marché, pour une surconsommation moyenne se répétant pour chaque Période de Suivi jusqu’à la fin du Marché.</w:t>
      </w:r>
    </w:p>
    <w:p w14:paraId="7C7F24C6" w14:textId="33989514" w:rsidR="00AC6B03" w:rsidRPr="00703582" w:rsidRDefault="00AC6B03" w:rsidP="001D3954">
      <w:pPr>
        <w:spacing w:line="240" w:lineRule="auto"/>
        <w:jc w:val="both"/>
        <w:rPr>
          <w:rFonts w:cstheme="minorHAnsi"/>
          <w:color w:val="000000" w:themeColor="text1"/>
        </w:rPr>
      </w:pPr>
      <w:r w:rsidRPr="00703582">
        <w:rPr>
          <w:rFonts w:cstheme="minorHAnsi"/>
          <w:i/>
          <w:iCs/>
          <w:color w:val="000000" w:themeColor="text1"/>
        </w:rPr>
        <w:t>A contrario</w:t>
      </w:r>
      <w:r w:rsidRPr="00703582">
        <w:rPr>
          <w:rFonts w:cstheme="minorHAnsi"/>
          <w:color w:val="000000" w:themeColor="text1"/>
        </w:rPr>
        <w:t>, en l’absence de surconsommation moyenne au moment de la résiliation, le Titulaire n’est redevable d’aucune indemnité.</w:t>
      </w:r>
    </w:p>
    <w:p w14:paraId="34B2CAC6" w14:textId="541DADEC" w:rsidR="00AC6B03" w:rsidRPr="00703582" w:rsidRDefault="00AC6B03" w:rsidP="001D3954">
      <w:pPr>
        <w:spacing w:after="120" w:line="240" w:lineRule="auto"/>
        <w:jc w:val="both"/>
        <w:rPr>
          <w:rFonts w:cstheme="minorHAnsi"/>
          <w:iCs/>
          <w:color w:val="000000" w:themeColor="text1"/>
        </w:rPr>
      </w:pPr>
      <w:r w:rsidRPr="00703582">
        <w:rPr>
          <w:rFonts w:cstheme="minorHAnsi"/>
          <w:color w:val="000000" w:themeColor="text1"/>
        </w:rPr>
        <w:t xml:space="preserve">Ce mécanisme d’indemnité spécifique peut être </w:t>
      </w:r>
      <w:r w:rsidR="005E4447">
        <w:rPr>
          <w:rFonts w:cstheme="minorHAnsi"/>
          <w:color w:val="000000" w:themeColor="text1"/>
        </w:rPr>
        <w:t>adapté</w:t>
      </w:r>
      <w:r w:rsidRPr="00703582">
        <w:rPr>
          <w:rFonts w:cstheme="minorHAnsi"/>
          <w:color w:val="000000" w:themeColor="text1"/>
        </w:rPr>
        <w:t xml:space="preserve"> si les documents particuliers du Marché prévoir une réparation en nature au titre de </w:t>
      </w:r>
      <w:proofErr w:type="gramStart"/>
      <w:r w:rsidRPr="00703582">
        <w:rPr>
          <w:rFonts w:cstheme="minorHAnsi"/>
          <w:color w:val="000000" w:themeColor="text1"/>
        </w:rPr>
        <w:t>la</w:t>
      </w:r>
      <w:proofErr w:type="gramEnd"/>
      <w:r w:rsidRPr="00703582">
        <w:rPr>
          <w:rFonts w:cstheme="minorHAnsi"/>
          <w:color w:val="000000" w:themeColor="text1"/>
        </w:rPr>
        <w:t xml:space="preserve"> de la Garantie de Performance Énergétique.</w:t>
      </w:r>
    </w:p>
    <w:p w14:paraId="4A19D7BC" w14:textId="77777777" w:rsidR="00AC6B03" w:rsidRPr="00703582" w:rsidRDefault="00AC6B03" w:rsidP="001D3954">
      <w:pPr>
        <w:spacing w:after="120" w:line="240" w:lineRule="auto"/>
        <w:jc w:val="both"/>
        <w:rPr>
          <w:rFonts w:cstheme="minorHAnsi"/>
          <w:color w:val="000000" w:themeColor="text1"/>
        </w:rPr>
      </w:pPr>
      <w:r w:rsidRPr="00703582">
        <w:rPr>
          <w:rFonts w:cstheme="minorHAnsi"/>
          <w:color w:val="000000" w:themeColor="text1"/>
        </w:rPr>
        <w:t>L’objectif de ce mécanisme d’indemnité spécifique est de s’assurer que la résiliation pour faute ne soit pas plus favorable au Titulaire que la poursuite du Marché et l’exécution de ses engagements de performance énergétique.</w:t>
      </w:r>
    </w:p>
    <w:p w14:paraId="55D2ACA3" w14:textId="10AEEEA1" w:rsidR="009718A7" w:rsidRPr="00216639" w:rsidRDefault="009718A7" w:rsidP="001D3954">
      <w:pPr>
        <w:pStyle w:val="Titre1"/>
        <w:spacing w:line="240" w:lineRule="auto"/>
      </w:pPr>
      <w:r w:rsidRPr="00702FDE">
        <w:fldChar w:fldCharType="begin"/>
      </w:r>
      <w:r w:rsidRPr="00702FDE">
        <w:instrText xml:space="preserve"> AUTONUMLGL </w:instrText>
      </w:r>
      <w:bookmarkStart w:id="29" w:name="_Toc112749013"/>
      <w:r w:rsidRPr="00702FDE">
        <w:fldChar w:fldCharType="end"/>
      </w:r>
      <w:r>
        <w:t xml:space="preserve"> </w:t>
      </w:r>
      <w:r w:rsidR="00F818D2">
        <w:t xml:space="preserve">CPE et </w:t>
      </w:r>
      <w:r w:rsidR="00F818D2" w:rsidRPr="0083268C">
        <w:rPr>
          <w:rStyle w:val="st"/>
        </w:rPr>
        <w:t>dispositif éco énergie tertiaire</w:t>
      </w:r>
      <w:bookmarkEnd w:id="29"/>
      <w:r w:rsidR="00F818D2">
        <w:rPr>
          <w:rStyle w:val="st"/>
        </w:rPr>
        <w:fldChar w:fldCharType="begin"/>
      </w:r>
      <w:r w:rsidR="00F818D2">
        <w:instrText xml:space="preserve"> XE "</w:instrText>
      </w:r>
      <w:r w:rsidR="00F818D2" w:rsidRPr="004D509F">
        <w:rPr>
          <w:rStyle w:val="st"/>
          <w:b w:val="0"/>
          <w:bCs w:val="0"/>
        </w:rPr>
        <w:instrText>D</w:instrText>
      </w:r>
      <w:r w:rsidR="00F818D2" w:rsidRPr="004D509F">
        <w:rPr>
          <w:rStyle w:val="st"/>
        </w:rPr>
        <w:instrText>ispositif éco énergie tertiaire</w:instrText>
      </w:r>
      <w:r w:rsidR="00F818D2">
        <w:instrText xml:space="preserve">" </w:instrText>
      </w:r>
      <w:r w:rsidR="00F818D2">
        <w:rPr>
          <w:rStyle w:val="st"/>
        </w:rPr>
        <w:fldChar w:fldCharType="end"/>
      </w:r>
    </w:p>
    <w:p w14:paraId="310C33AB" w14:textId="17FE563E" w:rsidR="009718A7" w:rsidRPr="00DA155A" w:rsidRDefault="009718A7" w:rsidP="001D3954">
      <w:pPr>
        <w:pStyle w:val="Titre2"/>
        <w:spacing w:line="240" w:lineRule="auto"/>
        <w:rPr>
          <w:rStyle w:val="st"/>
          <w:rFonts w:asciiTheme="minorHAnsi" w:eastAsiaTheme="minorHAnsi" w:hAnsiTheme="minorHAnsi" w:cstheme="minorBidi"/>
          <w:b w:val="0"/>
          <w:bCs w:val="0"/>
          <w:iCs w:val="0"/>
          <w:sz w:val="22"/>
          <w:szCs w:val="22"/>
          <w:u w:val="none"/>
          <w:lang w:eastAsia="en-US"/>
        </w:rPr>
      </w:pPr>
      <w:r w:rsidRPr="00702FDE">
        <w:fldChar w:fldCharType="begin"/>
      </w:r>
      <w:r w:rsidRPr="00702FDE">
        <w:instrText xml:space="preserve"> AUTONUMLGL </w:instrText>
      </w:r>
      <w:bookmarkStart w:id="30" w:name="_Toc112749014"/>
      <w:r w:rsidRPr="00702FDE">
        <w:fldChar w:fldCharType="end"/>
      </w:r>
      <w:r>
        <w:t xml:space="preserve"> </w:t>
      </w:r>
      <w:r w:rsidRPr="00DA155A">
        <w:rPr>
          <w:rStyle w:val="st"/>
        </w:rPr>
        <w:t>L’obligation de réduction des consommations d’énergie finale des bâtiments à usage tertiaire : le dispositif éco-énergie</w:t>
      </w:r>
      <w:r w:rsidR="0075496F">
        <w:rPr>
          <w:rStyle w:val="st"/>
        </w:rPr>
        <w:t xml:space="preserve"> tertiaire</w:t>
      </w:r>
      <w:bookmarkEnd w:id="30"/>
      <w:r w:rsidR="00EE6021">
        <w:rPr>
          <w:rStyle w:val="st"/>
        </w:rPr>
        <w:fldChar w:fldCharType="begin"/>
      </w:r>
      <w:r w:rsidR="00EE6021">
        <w:instrText xml:space="preserve"> XE "</w:instrText>
      </w:r>
      <w:r w:rsidR="00EE6021" w:rsidRPr="00986654">
        <w:instrText xml:space="preserve">Dispositif </w:instrText>
      </w:r>
      <w:proofErr w:type="spellStart"/>
      <w:r w:rsidR="00EE6021" w:rsidRPr="00986654">
        <w:instrText>éco-énergie:Obligation</w:instrText>
      </w:r>
      <w:proofErr w:type="spellEnd"/>
      <w:r w:rsidR="00EE6021" w:rsidRPr="00986654">
        <w:instrText xml:space="preserve"> de réduction des consommations énergétiques</w:instrText>
      </w:r>
      <w:r w:rsidR="00EE6021">
        <w:instrText xml:space="preserve">" \i </w:instrText>
      </w:r>
      <w:r w:rsidR="00EE6021">
        <w:rPr>
          <w:rStyle w:val="st"/>
        </w:rPr>
        <w:fldChar w:fldCharType="end"/>
      </w:r>
    </w:p>
    <w:p w14:paraId="3C2700A9" w14:textId="77777777" w:rsidR="009718A7" w:rsidRPr="001D3954" w:rsidRDefault="009718A7" w:rsidP="001D3954">
      <w:pPr>
        <w:pStyle w:val="Paragraphedeliste"/>
        <w:numPr>
          <w:ilvl w:val="0"/>
          <w:numId w:val="28"/>
        </w:numPr>
        <w:spacing w:line="240" w:lineRule="auto"/>
        <w:contextualSpacing w:val="0"/>
        <w:jc w:val="both"/>
      </w:pPr>
      <w:r w:rsidRPr="001D3954">
        <w:t>Obligation de réduction de la consommation d'énergie finale dans des bâtiments à usage tertiaire :</w:t>
      </w:r>
    </w:p>
    <w:p w14:paraId="3509BCA3" w14:textId="376BC7E7" w:rsidR="005E4447" w:rsidRDefault="009718A7" w:rsidP="00A37948">
      <w:pPr>
        <w:spacing w:before="120" w:line="240" w:lineRule="auto"/>
        <w:ind w:left="360"/>
        <w:jc w:val="both"/>
        <w:rPr>
          <w:color w:val="000000" w:themeColor="text1"/>
        </w:rPr>
      </w:pPr>
      <w:r w:rsidRPr="0033168D">
        <w:rPr>
          <w:color w:val="000000" w:themeColor="text1"/>
        </w:rPr>
        <w:t xml:space="preserve">La loi Grenelle 2 a posé en 2010 </w:t>
      </w:r>
      <w:r w:rsidR="005E4447">
        <w:rPr>
          <w:color w:val="000000" w:themeColor="text1"/>
        </w:rPr>
        <w:t xml:space="preserve">le principe de </w:t>
      </w:r>
      <w:r w:rsidRPr="0033168D">
        <w:rPr>
          <w:color w:val="000000" w:themeColor="text1"/>
        </w:rPr>
        <w:t xml:space="preserve">l’obligation d’amélioration de la performance énergétique dans les bâtiments existants à usage tertiaire. </w:t>
      </w:r>
    </w:p>
    <w:p w14:paraId="3F512F8F" w14:textId="7344C35B" w:rsidR="009718A7" w:rsidRPr="0033168D" w:rsidRDefault="009718A7" w:rsidP="001D3954">
      <w:pPr>
        <w:spacing w:before="120" w:line="240" w:lineRule="auto"/>
        <w:ind w:left="360"/>
        <w:jc w:val="both"/>
        <w:rPr>
          <w:color w:val="000000" w:themeColor="text1"/>
        </w:rPr>
      </w:pPr>
      <w:r w:rsidRPr="0033168D">
        <w:rPr>
          <w:color w:val="000000" w:themeColor="text1"/>
        </w:rPr>
        <w:t xml:space="preserve">L’article L.111-10-3 du Code de la construction et de l’habitation, dans sa version </w:t>
      </w:r>
      <w:r w:rsidR="005E4447">
        <w:rPr>
          <w:color w:val="000000" w:themeColor="text1"/>
        </w:rPr>
        <w:t>en vigueur au 1</w:t>
      </w:r>
      <w:r w:rsidR="005E4447" w:rsidRPr="001D3954">
        <w:rPr>
          <w:color w:val="000000" w:themeColor="text1"/>
          <w:vertAlign w:val="superscript"/>
        </w:rPr>
        <w:t>er</w:t>
      </w:r>
      <w:r w:rsidR="005E4447">
        <w:rPr>
          <w:color w:val="000000" w:themeColor="text1"/>
        </w:rPr>
        <w:t xml:space="preserve"> janvier 2021</w:t>
      </w:r>
      <w:r w:rsidRPr="0033168D">
        <w:rPr>
          <w:color w:val="000000" w:themeColor="text1"/>
        </w:rPr>
        <w:t>, prévoit notamment :</w:t>
      </w:r>
    </w:p>
    <w:p w14:paraId="289A4476" w14:textId="77777777" w:rsidR="009718A7" w:rsidRPr="0033168D" w:rsidRDefault="009718A7" w:rsidP="001D3954">
      <w:pPr>
        <w:pStyle w:val="Paragraphedeliste"/>
        <w:numPr>
          <w:ilvl w:val="0"/>
          <w:numId w:val="43"/>
        </w:numPr>
        <w:spacing w:before="120" w:after="120" w:line="240" w:lineRule="auto"/>
        <w:contextualSpacing w:val="0"/>
        <w:jc w:val="both"/>
        <w:rPr>
          <w:rFonts w:cstheme="minorHAnsi"/>
          <w:color w:val="000000" w:themeColor="text1"/>
        </w:rPr>
      </w:pPr>
      <w:r w:rsidRPr="0033168D">
        <w:rPr>
          <w:rFonts w:cstheme="minorHAnsi"/>
          <w:color w:val="000000" w:themeColor="text1"/>
        </w:rPr>
        <w:t>le champ d’application de l’obligation qui pèse sur tout bâtiment, partie de bâtiment ou ensemble de bâtiments du parc tertiaire,</w:t>
      </w:r>
    </w:p>
    <w:p w14:paraId="41412F98" w14:textId="77777777" w:rsidR="009718A7" w:rsidRPr="0033168D" w:rsidRDefault="009718A7" w:rsidP="001D3954">
      <w:pPr>
        <w:pStyle w:val="Paragraphedeliste"/>
        <w:numPr>
          <w:ilvl w:val="0"/>
          <w:numId w:val="43"/>
        </w:numPr>
        <w:spacing w:before="120" w:after="120" w:line="240" w:lineRule="auto"/>
        <w:contextualSpacing w:val="0"/>
        <w:jc w:val="both"/>
        <w:rPr>
          <w:rFonts w:cstheme="minorHAnsi"/>
          <w:color w:val="000000" w:themeColor="text1"/>
        </w:rPr>
      </w:pPr>
      <w:r w:rsidRPr="0033168D">
        <w:rPr>
          <w:rFonts w:cstheme="minorHAnsi"/>
          <w:color w:val="000000" w:themeColor="text1"/>
        </w:rPr>
        <w:lastRenderedPageBreak/>
        <w:t>l’option entre le respect soit d’un niveau de consommation d’énergie finale fixé en valeur absolue, soit d’un niveau de consommation d’énergie finale réduit, respectivement, de 40 %, 50 % et 60 % par rapport à une consommation énergétique de référence qui ne peut être antérieure à 2010.</w:t>
      </w:r>
    </w:p>
    <w:p w14:paraId="7CCBB40E" w14:textId="0F4057AF" w:rsidR="009718A7" w:rsidRPr="0033168D" w:rsidRDefault="009718A7" w:rsidP="001D3954">
      <w:pPr>
        <w:spacing w:before="120" w:line="240" w:lineRule="auto"/>
        <w:ind w:left="360"/>
        <w:jc w:val="both"/>
        <w:rPr>
          <w:color w:val="000000" w:themeColor="text1"/>
        </w:rPr>
      </w:pPr>
      <w:r w:rsidRPr="0033168D">
        <w:rPr>
          <w:color w:val="000000" w:themeColor="text1"/>
        </w:rPr>
        <w:t>Le décret n°2019-771 du 23 juillet 2019 relatif aux obligations d'actions de réduction de la consommation d'énergie finale dans des bâtiments à usage tertiaire a été pris en application de ces dispositions législatives. Il a fait l’objet d’un arrêté dit « Méthodes » en date du 10 avril 2020</w:t>
      </w:r>
      <w:r w:rsidR="00C339F8">
        <w:rPr>
          <w:color w:val="000000" w:themeColor="text1"/>
        </w:rPr>
        <w:t xml:space="preserve"> </w:t>
      </w:r>
      <w:r w:rsidR="00AD5665">
        <w:rPr>
          <w:color w:val="000000" w:themeColor="text1"/>
        </w:rPr>
        <w:t xml:space="preserve">et d’un premier arrêté modificatif relatif aux valeurs absolues en date du </w:t>
      </w:r>
      <w:r w:rsidR="00E82F5F">
        <w:rPr>
          <w:color w:val="000000" w:themeColor="text1"/>
        </w:rPr>
        <w:t>24 novembre 2020</w:t>
      </w:r>
      <w:r w:rsidRPr="0033168D">
        <w:rPr>
          <w:color w:val="000000" w:themeColor="text1"/>
        </w:rPr>
        <w:t>.</w:t>
      </w:r>
    </w:p>
    <w:p w14:paraId="2DC7751F" w14:textId="77777777" w:rsidR="009718A7" w:rsidRPr="001D3954" w:rsidRDefault="009718A7" w:rsidP="001D3954">
      <w:pPr>
        <w:pStyle w:val="Paragraphedeliste"/>
        <w:numPr>
          <w:ilvl w:val="0"/>
          <w:numId w:val="28"/>
        </w:numPr>
        <w:spacing w:line="240" w:lineRule="auto"/>
        <w:contextualSpacing w:val="0"/>
        <w:jc w:val="both"/>
      </w:pPr>
      <w:r w:rsidRPr="001D3954">
        <w:t>Modulation des objectifs :</w:t>
      </w:r>
    </w:p>
    <w:p w14:paraId="57E4FFCD" w14:textId="77777777" w:rsidR="009718A7" w:rsidRPr="0033168D" w:rsidRDefault="009718A7" w:rsidP="001D3954">
      <w:pPr>
        <w:spacing w:before="120" w:line="240" w:lineRule="auto"/>
        <w:ind w:left="360"/>
        <w:jc w:val="both"/>
        <w:rPr>
          <w:color w:val="000000" w:themeColor="text1"/>
        </w:rPr>
      </w:pPr>
      <w:r w:rsidRPr="0033168D">
        <w:rPr>
          <w:color w:val="000000" w:themeColor="text1"/>
        </w:rPr>
        <w:t>Ces objectifs peuvent être modulés en fonction :</w:t>
      </w:r>
    </w:p>
    <w:p w14:paraId="073637A3" w14:textId="77777777" w:rsidR="009718A7" w:rsidRPr="0033168D" w:rsidRDefault="009718A7" w:rsidP="001D3954">
      <w:pPr>
        <w:pStyle w:val="Paragraphedeliste"/>
        <w:numPr>
          <w:ilvl w:val="0"/>
          <w:numId w:val="43"/>
        </w:numPr>
        <w:spacing w:before="120" w:after="120" w:line="240" w:lineRule="auto"/>
        <w:contextualSpacing w:val="0"/>
        <w:jc w:val="both"/>
        <w:rPr>
          <w:rFonts w:cstheme="minorHAnsi"/>
          <w:color w:val="000000" w:themeColor="text1"/>
        </w:rPr>
      </w:pPr>
      <w:r w:rsidRPr="0033168D">
        <w:rPr>
          <w:rFonts w:cstheme="minorHAnsi"/>
          <w:color w:val="000000" w:themeColor="text1"/>
        </w:rPr>
        <w:t>De contraintes techniques, architecturales ou patrimoniales relatives aux bâtiments concernés,</w:t>
      </w:r>
    </w:p>
    <w:p w14:paraId="46012BBA" w14:textId="77777777" w:rsidR="009718A7" w:rsidRPr="0033168D" w:rsidRDefault="009718A7" w:rsidP="001D3954">
      <w:pPr>
        <w:pStyle w:val="Paragraphedeliste"/>
        <w:numPr>
          <w:ilvl w:val="0"/>
          <w:numId w:val="43"/>
        </w:numPr>
        <w:spacing w:before="120" w:after="120" w:line="240" w:lineRule="auto"/>
        <w:contextualSpacing w:val="0"/>
        <w:jc w:val="both"/>
        <w:rPr>
          <w:rFonts w:cstheme="minorHAnsi"/>
          <w:color w:val="000000" w:themeColor="text1"/>
        </w:rPr>
      </w:pPr>
      <w:r w:rsidRPr="0033168D">
        <w:rPr>
          <w:rFonts w:cstheme="minorHAnsi"/>
          <w:color w:val="000000" w:themeColor="text1"/>
        </w:rPr>
        <w:t>D’un changement de l’activité exercée dans ces bâtiments ou du volume de cette activité,</w:t>
      </w:r>
    </w:p>
    <w:p w14:paraId="35F74B4C" w14:textId="77777777" w:rsidR="009718A7" w:rsidRPr="0033168D" w:rsidRDefault="009718A7" w:rsidP="001D3954">
      <w:pPr>
        <w:pStyle w:val="Paragraphedeliste"/>
        <w:numPr>
          <w:ilvl w:val="0"/>
          <w:numId w:val="43"/>
        </w:numPr>
        <w:spacing w:before="120" w:after="120" w:line="240" w:lineRule="auto"/>
        <w:contextualSpacing w:val="0"/>
        <w:jc w:val="both"/>
        <w:rPr>
          <w:rFonts w:cstheme="minorHAnsi"/>
          <w:color w:val="000000" w:themeColor="text1"/>
        </w:rPr>
      </w:pPr>
      <w:r w:rsidRPr="0033168D">
        <w:rPr>
          <w:rFonts w:cstheme="minorHAnsi"/>
          <w:color w:val="000000" w:themeColor="text1"/>
        </w:rPr>
        <w:t>De coûts manifestement disproportionnés des actions par rapport aux avantages attendus en termes de consommation d’énergie finale.</w:t>
      </w:r>
    </w:p>
    <w:p w14:paraId="6B107C72" w14:textId="77777777" w:rsidR="009718A7" w:rsidRPr="001D3954" w:rsidRDefault="009718A7" w:rsidP="001D3954">
      <w:pPr>
        <w:pStyle w:val="Paragraphedeliste"/>
        <w:numPr>
          <w:ilvl w:val="0"/>
          <w:numId w:val="28"/>
        </w:numPr>
        <w:spacing w:line="240" w:lineRule="auto"/>
        <w:contextualSpacing w:val="0"/>
        <w:jc w:val="both"/>
      </w:pPr>
      <w:r w:rsidRPr="001D3954">
        <w:t>Coopération entre propriétaires et preneurs :</w:t>
      </w:r>
    </w:p>
    <w:p w14:paraId="72831972" w14:textId="77777777" w:rsidR="009718A7" w:rsidRPr="0033168D" w:rsidRDefault="009718A7" w:rsidP="001D3954">
      <w:pPr>
        <w:spacing w:before="120" w:line="240" w:lineRule="auto"/>
        <w:ind w:left="360"/>
        <w:jc w:val="both"/>
        <w:rPr>
          <w:color w:val="000000" w:themeColor="text1"/>
        </w:rPr>
      </w:pPr>
      <w:r w:rsidRPr="0033168D">
        <w:rPr>
          <w:color w:val="000000" w:themeColor="text1"/>
        </w:rPr>
        <w:t>La loi pose le principe selon lequel les propriétaires et les preneurs à bail sont soumis à l’obligation pour les actions qui relèvent de leurs responsabilités respectives en raison des dispositions contractuelles régissant leurs relations.</w:t>
      </w:r>
    </w:p>
    <w:p w14:paraId="2A742A51" w14:textId="77777777" w:rsidR="009718A7" w:rsidRPr="0033168D" w:rsidRDefault="009718A7" w:rsidP="001D3954">
      <w:pPr>
        <w:spacing w:before="120" w:line="240" w:lineRule="auto"/>
        <w:ind w:left="360"/>
        <w:jc w:val="both"/>
        <w:rPr>
          <w:color w:val="000000" w:themeColor="text1"/>
        </w:rPr>
      </w:pPr>
      <w:r w:rsidRPr="0033168D">
        <w:rPr>
          <w:color w:val="000000" w:themeColor="text1"/>
        </w:rPr>
        <w:t>Elle impose ainsi une coopération entre ces deux acteurs, dès lors que bailleurs et preneurs doivent définir ensemble les actions destinées à respecter cette obligation et mettent en œuvre les moyens correspondants chacun en ce qui les concerne.</w:t>
      </w:r>
    </w:p>
    <w:p w14:paraId="458841AA" w14:textId="4608B11B" w:rsidR="009718A7" w:rsidRPr="0033168D" w:rsidRDefault="009718A7" w:rsidP="001D3954">
      <w:pPr>
        <w:spacing w:before="120" w:line="240" w:lineRule="auto"/>
        <w:ind w:left="360"/>
        <w:jc w:val="both"/>
        <w:rPr>
          <w:color w:val="000000" w:themeColor="text1"/>
        </w:rPr>
      </w:pPr>
      <w:r w:rsidRPr="0033168D">
        <w:rPr>
          <w:color w:val="000000" w:themeColor="text1"/>
        </w:rPr>
        <w:t>L’annexe environnementale</w:t>
      </w:r>
      <w:r w:rsidR="00EE6021">
        <w:rPr>
          <w:color w:val="000000" w:themeColor="text1"/>
        </w:rPr>
        <w:fldChar w:fldCharType="begin"/>
      </w:r>
      <w:r w:rsidR="00EE6021">
        <w:instrText xml:space="preserve"> XE "</w:instrText>
      </w:r>
      <w:r w:rsidR="00EE6021" w:rsidRPr="007747E3">
        <w:rPr>
          <w:color w:val="000000" w:themeColor="text1"/>
        </w:rPr>
        <w:instrText>Annexe environnementale</w:instrText>
      </w:r>
      <w:r w:rsidR="00EE6021">
        <w:instrText xml:space="preserve">" \i </w:instrText>
      </w:r>
      <w:r w:rsidR="00EE6021">
        <w:rPr>
          <w:color w:val="000000" w:themeColor="text1"/>
        </w:rPr>
        <w:fldChar w:fldCharType="end"/>
      </w:r>
      <w:r w:rsidRPr="0033168D">
        <w:rPr>
          <w:color w:val="000000" w:themeColor="text1"/>
        </w:rPr>
        <w:t xml:space="preserve"> au bail, codifiée aux l’article L.125-9 et D.137-1 à D.137-3 du </w:t>
      </w:r>
      <w:r w:rsidR="00205F4E">
        <w:rPr>
          <w:color w:val="000000" w:themeColor="text1"/>
        </w:rPr>
        <w:t>C</w:t>
      </w:r>
      <w:r w:rsidRPr="0033168D">
        <w:rPr>
          <w:color w:val="000000" w:themeColor="text1"/>
        </w:rPr>
        <w:t>ode de l’environnement, contient, s’agissant du volet énergétique, d’une part la liste, le descriptif complet ainsi que les caractéristiques énergétiques des équipements existants dans le bâtiment et relatifs au traitement des déchets, au chauffage, au refroidissement, à la ventilation et à l'éclairage ainsi qu'à tout autre système lié aux spécificités du bâtiment et, d’autre part, les consommations annuelles énergétiques réelles des équipements et systèmes dont il a l'exploitation ;</w:t>
      </w:r>
    </w:p>
    <w:p w14:paraId="174BE13D" w14:textId="0D037B1D" w:rsidR="009718A7" w:rsidRPr="001D3954" w:rsidRDefault="002B65A5" w:rsidP="001D3954">
      <w:pPr>
        <w:pStyle w:val="Titre2"/>
        <w:spacing w:line="240" w:lineRule="auto"/>
      </w:pPr>
      <w:r w:rsidRPr="00702FDE">
        <w:fldChar w:fldCharType="begin"/>
      </w:r>
      <w:r w:rsidRPr="00702FDE">
        <w:instrText xml:space="preserve"> AUTONUMLGL </w:instrText>
      </w:r>
      <w:bookmarkStart w:id="31" w:name="_Toc112749015"/>
      <w:r w:rsidRPr="00702FDE">
        <w:fldChar w:fldCharType="end"/>
      </w:r>
      <w:r>
        <w:t xml:space="preserve"> </w:t>
      </w:r>
      <w:r w:rsidR="009718A7" w:rsidRPr="001D3954">
        <w:t xml:space="preserve">Articulation entre le dispositif éco-énergie </w:t>
      </w:r>
      <w:r w:rsidR="004F276C">
        <w:t xml:space="preserve">tertiaire </w:t>
      </w:r>
      <w:r w:rsidR="009718A7" w:rsidRPr="001D3954">
        <w:t>et le CPE</w:t>
      </w:r>
      <w:bookmarkEnd w:id="31"/>
    </w:p>
    <w:p w14:paraId="550CA9C4" w14:textId="3476389D" w:rsidR="009718A7" w:rsidRPr="0075496F" w:rsidRDefault="009718A7" w:rsidP="001D3954">
      <w:pPr>
        <w:spacing w:before="120" w:line="240" w:lineRule="auto"/>
        <w:jc w:val="both"/>
        <w:rPr>
          <w:color w:val="000000" w:themeColor="text1"/>
        </w:rPr>
      </w:pPr>
      <w:r w:rsidRPr="0075496F">
        <w:rPr>
          <w:color w:val="000000" w:themeColor="text1"/>
        </w:rPr>
        <w:t xml:space="preserve">Le dispositif éco-énergie </w:t>
      </w:r>
      <w:r w:rsidR="004F276C" w:rsidRPr="0075496F">
        <w:rPr>
          <w:color w:val="000000" w:themeColor="text1"/>
        </w:rPr>
        <w:t xml:space="preserve">tertiaire </w:t>
      </w:r>
      <w:r w:rsidRPr="0075496F">
        <w:rPr>
          <w:color w:val="000000" w:themeColor="text1"/>
        </w:rPr>
        <w:t>exprime l’obligation de réduction de la consommation d'énergie finale dans des bâtiments à usage tertiaire et aménage les conditions et modalités de mise en œuvre de cette obligation (modulation, soutenabilité financière, …).</w:t>
      </w:r>
    </w:p>
    <w:p w14:paraId="107A0092" w14:textId="2598CAA6" w:rsidR="0075496F" w:rsidRPr="0075496F" w:rsidRDefault="009718A7" w:rsidP="001D3954">
      <w:pPr>
        <w:spacing w:before="120" w:line="240" w:lineRule="auto"/>
        <w:jc w:val="both"/>
        <w:rPr>
          <w:rFonts w:cstheme="minorHAnsi"/>
          <w:color w:val="000000" w:themeColor="text1"/>
        </w:rPr>
      </w:pPr>
      <w:r w:rsidRPr="0075496F">
        <w:rPr>
          <w:color w:val="000000" w:themeColor="text1"/>
        </w:rPr>
        <w:t xml:space="preserve">Le CPE constitue l’un des outils </w:t>
      </w:r>
      <w:r w:rsidR="00194226" w:rsidRPr="0075496F">
        <w:rPr>
          <w:color w:val="000000" w:themeColor="text1"/>
        </w:rPr>
        <w:t xml:space="preserve">les plus efficaces </w:t>
      </w:r>
      <w:r w:rsidRPr="0075496F">
        <w:rPr>
          <w:color w:val="000000" w:themeColor="text1"/>
        </w:rPr>
        <w:t xml:space="preserve">de mise en œuvre opérationnelle de l’obligation </w:t>
      </w:r>
      <w:r w:rsidR="00F229BE">
        <w:t xml:space="preserve">du </w:t>
      </w:r>
      <w:r w:rsidR="00F229BE" w:rsidRPr="001D3954">
        <w:t xml:space="preserve">dispositif éco-énergie </w:t>
      </w:r>
      <w:r w:rsidR="00F229BE">
        <w:t xml:space="preserve">tertiaire </w:t>
      </w:r>
      <w:r w:rsidRPr="0075496F">
        <w:rPr>
          <w:color w:val="000000" w:themeColor="text1"/>
        </w:rPr>
        <w:t>applicable à tel ou tel bâtiment.</w:t>
      </w:r>
      <w:r w:rsidRPr="0075496F">
        <w:rPr>
          <w:rFonts w:cstheme="minorHAnsi"/>
          <w:color w:val="000000" w:themeColor="text1"/>
        </w:rPr>
        <w:t xml:space="preserve"> </w:t>
      </w:r>
    </w:p>
    <w:p w14:paraId="61D99E6A" w14:textId="74D4F6A9" w:rsidR="009718A7" w:rsidRPr="0075496F" w:rsidRDefault="009718A7" w:rsidP="001D3954">
      <w:pPr>
        <w:spacing w:before="120" w:line="240" w:lineRule="auto"/>
        <w:jc w:val="both"/>
        <w:rPr>
          <w:rFonts w:cstheme="minorHAnsi"/>
          <w:color w:val="000000" w:themeColor="text1"/>
        </w:rPr>
      </w:pPr>
      <w:r w:rsidRPr="0075496F">
        <w:rPr>
          <w:rFonts w:cstheme="minorHAnsi"/>
          <w:color w:val="000000" w:themeColor="text1"/>
        </w:rPr>
        <w:t xml:space="preserve">Les règles et paramètres du </w:t>
      </w:r>
      <w:r w:rsidRPr="0075496F">
        <w:rPr>
          <w:color w:val="000000" w:themeColor="text1"/>
        </w:rPr>
        <w:t xml:space="preserve">dispositif éco-énergie </w:t>
      </w:r>
      <w:r w:rsidR="004F276C" w:rsidRPr="0075496F">
        <w:rPr>
          <w:color w:val="000000" w:themeColor="text1"/>
        </w:rPr>
        <w:t xml:space="preserve">tertiaire </w:t>
      </w:r>
      <w:r w:rsidRPr="0075496F">
        <w:rPr>
          <w:rFonts w:cstheme="minorHAnsi"/>
          <w:color w:val="000000" w:themeColor="text1"/>
        </w:rPr>
        <w:t xml:space="preserve">et du CPE n’ont donc </w:t>
      </w:r>
      <w:r w:rsidR="004F276C" w:rsidRPr="0075496F">
        <w:rPr>
          <w:rFonts w:cstheme="minorHAnsi"/>
          <w:color w:val="000000" w:themeColor="text1"/>
        </w:rPr>
        <w:t xml:space="preserve">pas </w:t>
      </w:r>
      <w:r w:rsidRPr="0075496F">
        <w:rPr>
          <w:rFonts w:cstheme="minorHAnsi"/>
          <w:color w:val="000000" w:themeColor="text1"/>
        </w:rPr>
        <w:t>vocation à être strictement identiques même si elles poursuivent un objectif commun :</w:t>
      </w:r>
    </w:p>
    <w:p w14:paraId="749F3D05" w14:textId="29079CFE" w:rsidR="009718A7" w:rsidRPr="0075496F" w:rsidRDefault="009718A7" w:rsidP="00194226">
      <w:pPr>
        <w:pStyle w:val="Paragraphedeliste"/>
        <w:numPr>
          <w:ilvl w:val="0"/>
          <w:numId w:val="28"/>
        </w:numPr>
        <w:spacing w:line="240" w:lineRule="auto"/>
        <w:contextualSpacing w:val="0"/>
        <w:jc w:val="both"/>
      </w:pPr>
      <w:r w:rsidRPr="0075496F">
        <w:t xml:space="preserve">Le dispositif éco-énergie </w:t>
      </w:r>
      <w:r w:rsidR="004F276C" w:rsidRPr="0075496F">
        <w:t xml:space="preserve">tertiaire </w:t>
      </w:r>
      <w:r w:rsidRPr="0075496F">
        <w:t xml:space="preserve">s’applique aux seuls propriétaires et preneurs alors que le CPE organise les relations entre le </w:t>
      </w:r>
      <w:r w:rsidR="004F276C" w:rsidRPr="0075496F">
        <w:t xml:space="preserve">maître d’ouvrage </w:t>
      </w:r>
      <w:r w:rsidRPr="0075496F">
        <w:t>d’une part et le Titulaire du CPE d’autre part,</w:t>
      </w:r>
    </w:p>
    <w:p w14:paraId="1BF4D3F7" w14:textId="55B88A09" w:rsidR="009718A7" w:rsidRPr="0075496F" w:rsidRDefault="009718A7" w:rsidP="00194226">
      <w:pPr>
        <w:pStyle w:val="Paragraphedeliste"/>
        <w:numPr>
          <w:ilvl w:val="0"/>
          <w:numId w:val="28"/>
        </w:numPr>
        <w:spacing w:line="240" w:lineRule="auto"/>
        <w:contextualSpacing w:val="0"/>
        <w:jc w:val="both"/>
      </w:pPr>
      <w:r w:rsidRPr="0075496F">
        <w:lastRenderedPageBreak/>
        <w:t xml:space="preserve">Le CPE, qui s’inscrit dans la trajectoire du dispositif éco-énergie </w:t>
      </w:r>
      <w:r w:rsidR="004F276C" w:rsidRPr="0075496F">
        <w:t xml:space="preserve">tertiaire </w:t>
      </w:r>
      <w:r w:rsidRPr="0075496F">
        <w:t>peut porter sur une période plus courte et ne pas assurer, en une seule fois, l’intégralité de la réduction légale des consommations énergétiques pour la période concernée,</w:t>
      </w:r>
    </w:p>
    <w:p w14:paraId="1A747AFB" w14:textId="77777777" w:rsidR="009718A7" w:rsidRPr="0075496F" w:rsidRDefault="009718A7" w:rsidP="00194226">
      <w:pPr>
        <w:pStyle w:val="Paragraphedeliste"/>
        <w:numPr>
          <w:ilvl w:val="0"/>
          <w:numId w:val="28"/>
        </w:numPr>
        <w:spacing w:line="240" w:lineRule="auto"/>
        <w:contextualSpacing w:val="0"/>
        <w:jc w:val="both"/>
      </w:pPr>
      <w:r w:rsidRPr="0075496F">
        <w:t>Le CPE met en place un appareillage contractuel très détaillé que l’obligation légale et réglementaire ne décrit pas (ce qui est normal),</w:t>
      </w:r>
    </w:p>
    <w:p w14:paraId="019EB745" w14:textId="77777777" w:rsidR="009718A7" w:rsidRPr="0075496F" w:rsidRDefault="009718A7" w:rsidP="00194226">
      <w:pPr>
        <w:pStyle w:val="Paragraphedeliste"/>
        <w:numPr>
          <w:ilvl w:val="0"/>
          <w:numId w:val="28"/>
        </w:numPr>
        <w:spacing w:line="240" w:lineRule="auto"/>
        <w:contextualSpacing w:val="0"/>
        <w:jc w:val="both"/>
      </w:pPr>
      <w:r w:rsidRPr="0075496F">
        <w:t>Le CPE peut s’appliquer à des bâtiments soustraits à l’obligation de réduction de la consommation d'énergie finale,</w:t>
      </w:r>
    </w:p>
    <w:p w14:paraId="40E97B81" w14:textId="77777777" w:rsidR="009718A7" w:rsidRDefault="009718A7" w:rsidP="00194226">
      <w:pPr>
        <w:pStyle w:val="Paragraphedeliste"/>
        <w:numPr>
          <w:ilvl w:val="0"/>
          <w:numId w:val="28"/>
        </w:numPr>
        <w:spacing w:line="240" w:lineRule="auto"/>
        <w:contextualSpacing w:val="0"/>
        <w:jc w:val="both"/>
      </w:pPr>
      <w:r w:rsidRPr="0075496F">
        <w:t>…</w:t>
      </w:r>
    </w:p>
    <w:p w14:paraId="65B6F64B" w14:textId="183A1812" w:rsidR="002C06ED" w:rsidRPr="002C06ED" w:rsidRDefault="002C06ED" w:rsidP="002C06ED">
      <w:pPr>
        <w:spacing w:line="240" w:lineRule="auto"/>
        <w:jc w:val="both"/>
        <w:rPr>
          <w:i/>
          <w:iCs/>
        </w:rPr>
      </w:pPr>
      <w:r w:rsidRPr="002C06ED">
        <w:rPr>
          <w:i/>
          <w:iCs/>
        </w:rPr>
        <w:t>NB : L</w:t>
      </w:r>
      <w:r w:rsidRPr="002C06ED">
        <w:rPr>
          <w:i/>
          <w:iCs/>
        </w:rPr>
        <w:t>’analyse de la GPE doit être conduite de manière attentive avec le choix, par rapport aux objectifs portés le dispositif Eco-Energie Tertiaire, d’une approche en valeur absolu ou en valeur relative »</w:t>
      </w:r>
    </w:p>
    <w:p w14:paraId="1AE9DC75" w14:textId="241E8FD2" w:rsidR="00FC60DD" w:rsidRDefault="00FC60DD" w:rsidP="00FC60DD">
      <w:pPr>
        <w:pStyle w:val="Titre2"/>
        <w:spacing w:line="240" w:lineRule="auto"/>
        <w:rPr>
          <w:rStyle w:val="st"/>
          <w:rFonts w:asciiTheme="minorHAnsi" w:eastAsiaTheme="minorHAnsi" w:hAnsiTheme="minorHAnsi" w:cstheme="minorBidi"/>
          <w:iCs w:val="0"/>
          <w:sz w:val="36"/>
          <w:szCs w:val="36"/>
          <w:u w:val="none"/>
          <w:lang w:eastAsia="en-US"/>
        </w:rPr>
      </w:pPr>
      <w:r w:rsidRPr="00702FDE">
        <w:fldChar w:fldCharType="begin"/>
      </w:r>
      <w:r w:rsidRPr="00702FDE">
        <w:instrText xml:space="preserve"> AUTONUMLGL </w:instrText>
      </w:r>
      <w:bookmarkStart w:id="32" w:name="_Toc112749016"/>
      <w:r w:rsidRPr="00702FDE">
        <w:fldChar w:fldCharType="end"/>
      </w:r>
      <w:r>
        <w:t xml:space="preserve"> </w:t>
      </w:r>
      <w:r>
        <w:rPr>
          <w:rStyle w:val="st"/>
        </w:rPr>
        <w:t>Période de référence du CPE et année de référence</w:t>
      </w:r>
      <w:r>
        <w:rPr>
          <w:rStyle w:val="st"/>
        </w:rPr>
        <w:fldChar w:fldCharType="begin"/>
      </w:r>
      <w:r>
        <w:instrText xml:space="preserve"> XE "</w:instrText>
      </w:r>
      <w:r w:rsidRPr="003C464D">
        <w:instrText xml:space="preserve">Dispositif </w:instrText>
      </w:r>
      <w:proofErr w:type="spellStart"/>
      <w:r w:rsidRPr="003C464D">
        <w:instrText>éco-énergie:Année</w:instrText>
      </w:r>
      <w:proofErr w:type="spellEnd"/>
      <w:r w:rsidRPr="003C464D">
        <w:instrText xml:space="preserve"> de référence</w:instrText>
      </w:r>
      <w:r>
        <w:instrText xml:space="preserve">" \i </w:instrText>
      </w:r>
      <w:r>
        <w:rPr>
          <w:rStyle w:val="st"/>
        </w:rPr>
        <w:fldChar w:fldCharType="end"/>
      </w:r>
      <w:r>
        <w:rPr>
          <w:rStyle w:val="st"/>
        </w:rPr>
        <w:t xml:space="preserve"> du dispositif éco énergie tertiaire (décret tertiaire)</w:t>
      </w:r>
      <w:bookmarkEnd w:id="32"/>
    </w:p>
    <w:p w14:paraId="11CF0F6F" w14:textId="69A83C7C" w:rsidR="00FC60DD" w:rsidRDefault="00CE034A" w:rsidP="00FC60DD">
      <w:pPr>
        <w:spacing w:line="240" w:lineRule="auto"/>
        <w:jc w:val="both"/>
        <w:rPr>
          <w:rStyle w:val="st"/>
        </w:rPr>
      </w:pPr>
      <w:r w:rsidRPr="0083268C">
        <w:rPr>
          <w:rStyle w:val="st"/>
        </w:rPr>
        <w:t>L</w:t>
      </w:r>
      <w:r>
        <w:rPr>
          <w:rStyle w:val="st"/>
        </w:rPr>
        <w:t xml:space="preserve">a </w:t>
      </w:r>
      <w:r w:rsidR="00B31077">
        <w:rPr>
          <w:rStyle w:val="st"/>
        </w:rPr>
        <w:t>p</w:t>
      </w:r>
      <w:r>
        <w:rPr>
          <w:rStyle w:val="st"/>
        </w:rPr>
        <w:t>ériode</w:t>
      </w:r>
      <w:r w:rsidRPr="0083268C">
        <w:rPr>
          <w:rStyle w:val="st"/>
        </w:rPr>
        <w:t xml:space="preserve"> </w:t>
      </w:r>
      <w:r w:rsidR="00FC60DD" w:rsidRPr="0083268C">
        <w:rPr>
          <w:rStyle w:val="st"/>
        </w:rPr>
        <w:t xml:space="preserve">de référence du CPE </w:t>
      </w:r>
      <w:r w:rsidR="00B31077">
        <w:rPr>
          <w:rStyle w:val="st"/>
        </w:rPr>
        <w:t xml:space="preserve">désigne la </w:t>
      </w:r>
      <w:r w:rsidR="00B31077" w:rsidRPr="00752760">
        <w:rPr>
          <w:rFonts w:eastAsia="Calibri" w:cstheme="minorHAnsi"/>
          <w:color w:val="000000" w:themeColor="text1"/>
        </w:rPr>
        <w:t>période</w:t>
      </w:r>
      <w:r w:rsidR="003B26EF">
        <w:rPr>
          <w:rFonts w:eastAsia="Calibri" w:cstheme="minorHAnsi"/>
          <w:color w:val="000000" w:themeColor="text1"/>
        </w:rPr>
        <w:t xml:space="preserve"> historique</w:t>
      </w:r>
      <w:r w:rsidR="00B31077" w:rsidRPr="00752760">
        <w:rPr>
          <w:rFonts w:eastAsia="Calibri" w:cstheme="minorHAnsi"/>
          <w:color w:val="000000" w:themeColor="text1"/>
        </w:rPr>
        <w:t xml:space="preserve"> représentative </w:t>
      </w:r>
      <w:r w:rsidR="00B31077">
        <w:rPr>
          <w:rFonts w:eastAsia="Calibri" w:cstheme="minorHAnsi"/>
          <w:color w:val="000000" w:themeColor="text1"/>
        </w:rPr>
        <w:t>permettant d’établir la Situation de Référence</w:t>
      </w:r>
      <w:r w:rsidR="003B26EF">
        <w:rPr>
          <w:rFonts w:eastAsia="Calibri" w:cstheme="minorHAnsi"/>
          <w:color w:val="000000" w:themeColor="text1"/>
        </w:rPr>
        <w:t xml:space="preserve">, c’est-à-dire </w:t>
      </w:r>
      <w:r w:rsidR="00B31077" w:rsidRPr="00752760">
        <w:rPr>
          <w:rFonts w:eastAsia="Calibri" w:cstheme="minorHAnsi"/>
          <w:color w:val="000000" w:themeColor="text1"/>
        </w:rPr>
        <w:t xml:space="preserve">la Performance Énergétique des Bâtiments à la Date d’Entrée en Vigueur du </w:t>
      </w:r>
      <w:r w:rsidR="003B26EF">
        <w:rPr>
          <w:rFonts w:eastAsia="Calibri" w:cstheme="minorHAnsi"/>
          <w:color w:val="000000" w:themeColor="text1"/>
        </w:rPr>
        <w:t>CPE</w:t>
      </w:r>
      <w:r w:rsidR="00B31077" w:rsidRPr="00752760">
        <w:rPr>
          <w:rFonts w:eastAsia="Calibri" w:cstheme="minorHAnsi"/>
          <w:color w:val="000000" w:themeColor="text1"/>
        </w:rPr>
        <w:t xml:space="preserve">. </w:t>
      </w:r>
      <w:r w:rsidR="00FC60DD">
        <w:rPr>
          <w:rStyle w:val="st"/>
        </w:rPr>
        <w:t>Dans le cadre du</w:t>
      </w:r>
      <w:r w:rsidR="00FC60DD" w:rsidRPr="0083268C">
        <w:rPr>
          <w:rStyle w:val="st"/>
        </w:rPr>
        <w:t xml:space="preserve"> dispositif éco énergie tertiaire</w:t>
      </w:r>
      <w:r w:rsidR="00FC60DD">
        <w:rPr>
          <w:rStyle w:val="st"/>
        </w:rPr>
        <w:t>, l’année de référence est choisie plus librement par la maîtrise d’ouvrage</w:t>
      </w:r>
      <w:r w:rsidR="003B26EF">
        <w:rPr>
          <w:rStyle w:val="st"/>
        </w:rPr>
        <w:t>, sans être antérieur à 2010</w:t>
      </w:r>
      <w:r w:rsidR="00FC60DD">
        <w:rPr>
          <w:rStyle w:val="st"/>
        </w:rPr>
        <w:t>.</w:t>
      </w:r>
      <w:r w:rsidR="003B26EF">
        <w:rPr>
          <w:rStyle w:val="st"/>
        </w:rPr>
        <w:t xml:space="preserve"> Elle fait l’objet d’un choix stratégique en vue de l’atteinte des objectifs du dispositif éco-énergie tertiaire.</w:t>
      </w:r>
    </w:p>
    <w:p w14:paraId="596AB9E7" w14:textId="4B33407E" w:rsidR="00FC60DD" w:rsidRDefault="003B26EF" w:rsidP="00FC60DD">
      <w:pPr>
        <w:spacing w:line="240" w:lineRule="auto"/>
        <w:jc w:val="both"/>
        <w:rPr>
          <w:rStyle w:val="st"/>
        </w:rPr>
      </w:pPr>
      <w:r>
        <w:t xml:space="preserve">Ces références sont corrélées sans </w:t>
      </w:r>
      <w:r w:rsidR="00FC60DD" w:rsidRPr="00AC6704">
        <w:t xml:space="preserve">être </w:t>
      </w:r>
      <w:r>
        <w:t xml:space="preserve">nécessairement </w:t>
      </w:r>
      <w:r w:rsidR="00FC60DD">
        <w:t>identique</w:t>
      </w:r>
      <w:r>
        <w:t>s</w:t>
      </w:r>
      <w:r w:rsidR="00FC60DD" w:rsidRPr="00B33195">
        <w:t>.</w:t>
      </w:r>
    </w:p>
    <w:p w14:paraId="6E6ABD63" w14:textId="38133D64" w:rsidR="00FC60DD" w:rsidRDefault="00FC60DD" w:rsidP="00FC60DD">
      <w:pPr>
        <w:pStyle w:val="Titre2"/>
        <w:spacing w:line="240" w:lineRule="auto"/>
        <w:rPr>
          <w:rStyle w:val="st"/>
          <w:rFonts w:asciiTheme="minorHAnsi" w:eastAsiaTheme="minorHAnsi" w:hAnsiTheme="minorHAnsi" w:cstheme="minorBidi"/>
          <w:b w:val="0"/>
          <w:bCs w:val="0"/>
          <w:iCs w:val="0"/>
          <w:sz w:val="22"/>
          <w:szCs w:val="22"/>
          <w:u w:val="none"/>
          <w:lang w:eastAsia="en-US"/>
        </w:rPr>
      </w:pPr>
      <w:r w:rsidRPr="00702FDE">
        <w:fldChar w:fldCharType="begin"/>
      </w:r>
      <w:r w:rsidRPr="00702FDE">
        <w:instrText xml:space="preserve"> AUTONUMLGL </w:instrText>
      </w:r>
      <w:bookmarkStart w:id="33" w:name="_Toc112749017"/>
      <w:r w:rsidRPr="00702FDE">
        <w:fldChar w:fldCharType="end"/>
      </w:r>
      <w:r>
        <w:t xml:space="preserve"> </w:t>
      </w:r>
      <w:r w:rsidR="00E538BC">
        <w:rPr>
          <w:rStyle w:val="st"/>
        </w:rPr>
        <w:t>Ajustements</w:t>
      </w:r>
      <w:r w:rsidR="00E538BC" w:rsidRPr="0083268C">
        <w:rPr>
          <w:rStyle w:val="st"/>
        </w:rPr>
        <w:t xml:space="preserve"> </w:t>
      </w:r>
      <w:r w:rsidRPr="0083268C">
        <w:rPr>
          <w:rStyle w:val="st"/>
        </w:rPr>
        <w:t xml:space="preserve">CPE et </w:t>
      </w:r>
      <w:r w:rsidR="00E538BC">
        <w:rPr>
          <w:rStyle w:val="st"/>
        </w:rPr>
        <w:t>Ajustement</w:t>
      </w:r>
      <w:r w:rsidR="00E538BC" w:rsidRPr="0083268C">
        <w:rPr>
          <w:rStyle w:val="st"/>
        </w:rPr>
        <w:t>s</w:t>
      </w:r>
      <w:r w:rsidR="00E538BC">
        <w:rPr>
          <w:rStyle w:val="st"/>
        </w:rPr>
        <w:fldChar w:fldCharType="begin"/>
      </w:r>
      <w:r w:rsidR="00E538BC">
        <w:instrText xml:space="preserve"> XE "</w:instrText>
      </w:r>
      <w:r w:rsidR="00E538BC" w:rsidRPr="0046211A">
        <w:instrText xml:space="preserve">Dispositif </w:instrText>
      </w:r>
      <w:proofErr w:type="spellStart"/>
      <w:r w:rsidR="00E538BC" w:rsidRPr="0046211A">
        <w:instrText>éco-énergie:Modulations</w:instrText>
      </w:r>
      <w:proofErr w:type="spellEnd"/>
      <w:r w:rsidR="00E538BC">
        <w:instrText xml:space="preserve">" \i </w:instrText>
      </w:r>
      <w:r w:rsidR="00E538BC">
        <w:rPr>
          <w:rStyle w:val="st"/>
        </w:rPr>
        <w:fldChar w:fldCharType="end"/>
      </w:r>
      <w:r w:rsidR="00E538BC" w:rsidRPr="0083268C">
        <w:rPr>
          <w:rStyle w:val="st"/>
        </w:rPr>
        <w:t xml:space="preserve"> </w:t>
      </w:r>
      <w:r w:rsidRPr="0083268C">
        <w:rPr>
          <w:rStyle w:val="st"/>
        </w:rPr>
        <w:t>dispositif éco énergie tertiaire</w:t>
      </w:r>
      <w:bookmarkEnd w:id="33"/>
    </w:p>
    <w:p w14:paraId="0FF08371" w14:textId="29CB76EC" w:rsidR="00FC60DD" w:rsidRDefault="00E538BC" w:rsidP="00FC60DD">
      <w:pPr>
        <w:spacing w:line="240" w:lineRule="auto"/>
        <w:jc w:val="both"/>
        <w:rPr>
          <w:rStyle w:val="st"/>
        </w:rPr>
      </w:pPr>
      <w:r>
        <w:rPr>
          <w:rStyle w:val="st"/>
        </w:rPr>
        <w:t>L’ajustement</w:t>
      </w:r>
      <w:r w:rsidRPr="00980AA4">
        <w:rPr>
          <w:rStyle w:val="st"/>
        </w:rPr>
        <w:t xml:space="preserve"> </w:t>
      </w:r>
      <w:r>
        <w:rPr>
          <w:rStyle w:val="st"/>
        </w:rPr>
        <w:t xml:space="preserve">des données de consommations </w:t>
      </w:r>
      <w:r w:rsidRPr="00E538BC">
        <w:rPr>
          <w:rStyle w:val="st"/>
        </w:rPr>
        <w:t>en fonction des variations climatiques</w:t>
      </w:r>
      <w:r>
        <w:rPr>
          <w:rStyle w:val="st"/>
        </w:rPr>
        <w:t xml:space="preserve"> </w:t>
      </w:r>
      <w:r w:rsidR="00FC60DD" w:rsidRPr="00980AA4">
        <w:rPr>
          <w:rStyle w:val="st"/>
        </w:rPr>
        <w:t xml:space="preserve">permis dans le cadre du dispositif éco énergie tertiaire </w:t>
      </w:r>
      <w:r>
        <w:rPr>
          <w:rStyle w:val="st"/>
        </w:rPr>
        <w:t xml:space="preserve">figure systématiquement dans le </w:t>
      </w:r>
      <w:r w:rsidRPr="00D868E2">
        <w:rPr>
          <w:rStyle w:val="st"/>
        </w:rPr>
        <w:t>Plan de Mesures et de Vérifications</w:t>
      </w:r>
      <w:r>
        <w:rPr>
          <w:rStyle w:val="st"/>
        </w:rPr>
        <w:t xml:space="preserve"> d’un CPE.</w:t>
      </w:r>
      <w:r w:rsidR="00FC60DD" w:rsidRPr="00980AA4">
        <w:rPr>
          <w:rStyle w:val="st"/>
        </w:rPr>
        <w:t xml:space="preserve"> </w:t>
      </w:r>
    </w:p>
    <w:p w14:paraId="2D2F35B2" w14:textId="6BAD1FCD" w:rsidR="00B90556" w:rsidRDefault="00FC60DD" w:rsidP="00064B1F">
      <w:pPr>
        <w:spacing w:line="240" w:lineRule="auto"/>
        <w:rPr>
          <w:sz w:val="36"/>
          <w:szCs w:val="36"/>
        </w:rPr>
      </w:pPr>
      <w:r>
        <w:rPr>
          <w:rStyle w:val="st"/>
        </w:rPr>
        <w:t>Le CPE fait l’objet de Causes d’Ajustement spécifiques</w:t>
      </w:r>
      <w:r w:rsidR="00E538BC">
        <w:rPr>
          <w:rStyle w:val="st"/>
        </w:rPr>
        <w:t>, généralement plus larges que les seules variations climatiques</w:t>
      </w:r>
      <w:r>
        <w:rPr>
          <w:rStyle w:val="st"/>
        </w:rPr>
        <w:t>. L</w:t>
      </w:r>
      <w:r w:rsidRPr="00D868E2">
        <w:rPr>
          <w:rStyle w:val="st"/>
        </w:rPr>
        <w:t xml:space="preserve">e Plan de Mesures et de Vérifications prévoit, de façon limitative, les cas dans lesquels l’Objectif de Performance Énergétique Réel est ajusté pour tenir compte des modifications des </w:t>
      </w:r>
      <w:r>
        <w:rPr>
          <w:rStyle w:val="st"/>
        </w:rPr>
        <w:t xml:space="preserve">données et </w:t>
      </w:r>
      <w:r w:rsidRPr="00D868E2">
        <w:rPr>
          <w:rStyle w:val="st"/>
        </w:rPr>
        <w:t>conditions fixées dans la Situation de Référence</w:t>
      </w:r>
      <w:r>
        <w:rPr>
          <w:rStyle w:val="st"/>
        </w:rPr>
        <w:t xml:space="preserve">. </w:t>
      </w:r>
      <w:r w:rsidR="00B90556">
        <w:rPr>
          <w:sz w:val="36"/>
          <w:szCs w:val="36"/>
        </w:rPr>
        <w:br w:type="page"/>
      </w:r>
    </w:p>
    <w:p w14:paraId="3AAF5B9F" w14:textId="41ECCFF5" w:rsidR="009B5EB2" w:rsidRDefault="00603231" w:rsidP="004D0718">
      <w:pPr>
        <w:pStyle w:val="Titre"/>
        <w:spacing w:line="240" w:lineRule="auto"/>
      </w:pPr>
      <w:bookmarkStart w:id="34" w:name="_Toc112749018"/>
      <w:r>
        <w:lastRenderedPageBreak/>
        <w:t xml:space="preserve">Partie </w:t>
      </w:r>
      <w:r w:rsidR="00062C1B">
        <w:t xml:space="preserve">III - </w:t>
      </w:r>
      <w:r w:rsidR="00CC4F65">
        <w:t>Organisation</w:t>
      </w:r>
      <w:r w:rsidR="00062C1B">
        <w:t xml:space="preserve"> opérationnelle</w:t>
      </w:r>
      <w:bookmarkEnd w:id="34"/>
    </w:p>
    <w:p w14:paraId="29E1234C" w14:textId="2AC7DA88" w:rsidR="009B5EB2" w:rsidRDefault="009B5EB2" w:rsidP="004D0718">
      <w:pPr>
        <w:spacing w:line="240" w:lineRule="auto"/>
        <w:jc w:val="both"/>
      </w:pPr>
      <w:r>
        <w:t xml:space="preserve">La rénovation énergétique du patrimoine des collectivités constitue un enjeu majeur pour poursuivre la transition énergétique. Le décret </w:t>
      </w:r>
      <w:r w:rsidR="009849D8">
        <w:t>é</w:t>
      </w:r>
      <w:r w:rsidRPr="00DA4104">
        <w:t>co</w:t>
      </w:r>
      <w:r w:rsidR="009849D8">
        <w:t>-</w:t>
      </w:r>
      <w:r w:rsidRPr="00DA4104">
        <w:t>énergie tertiaire</w:t>
      </w:r>
      <w:r w:rsidR="009849D8">
        <w:t>,</w:t>
      </w:r>
      <w:r>
        <w:t xml:space="preserve"> issu de la loi </w:t>
      </w:r>
      <w:r w:rsidRPr="00DA4104">
        <w:t>évolution du logement de l'aménagement et du numérique (</w:t>
      </w:r>
      <w:r w:rsidR="009849D8" w:rsidRPr="00DA4104">
        <w:t>ELAN</w:t>
      </w:r>
      <w:r w:rsidRPr="00DA4104">
        <w:t>)</w:t>
      </w:r>
      <w:r>
        <w:t>, i</w:t>
      </w:r>
      <w:r w:rsidRPr="00DA4104">
        <w:t>mpose une réduction progressive de la consommation d’énergie dans les bâtiments à usage tertiaire</w:t>
      </w:r>
      <w:r>
        <w:t xml:space="preserve"> de -40% en 2030, -50% en 2040 et -60</w:t>
      </w:r>
      <w:r w:rsidR="00A73280">
        <w:t>%</w:t>
      </w:r>
      <w:r>
        <w:t xml:space="preserve"> en 2050.</w:t>
      </w:r>
    </w:p>
    <w:p w14:paraId="3D13F25A" w14:textId="50176A06" w:rsidR="009B5EB2" w:rsidRDefault="009B5EB2" w:rsidP="004D0718">
      <w:pPr>
        <w:spacing w:line="240" w:lineRule="auto"/>
        <w:jc w:val="both"/>
      </w:pPr>
      <w:r>
        <w:t xml:space="preserve">Ce chantier impose de mobiliser des outils techniques et juridiques importants induisant des économies substantielles sur les charges énergétiques. L’utilisation d’un </w:t>
      </w:r>
      <w:r w:rsidR="006373DB">
        <w:t>CPE</w:t>
      </w:r>
      <w:r>
        <w:t xml:space="preserve"> permet à la collectivité de fiabiliser les économies d’énergie réalisées, tout en sécurisant les investissements.</w:t>
      </w:r>
    </w:p>
    <w:p w14:paraId="20FB142C" w14:textId="76B2C0FD" w:rsidR="009B5EB2" w:rsidRPr="006C6F98" w:rsidRDefault="008B571E" w:rsidP="004D0718">
      <w:pPr>
        <w:pStyle w:val="Titre1"/>
        <w:spacing w:line="240" w:lineRule="auto"/>
      </w:pPr>
      <w:r w:rsidRPr="008B571E">
        <w:fldChar w:fldCharType="begin"/>
      </w:r>
      <w:r w:rsidRPr="008B571E">
        <w:instrText xml:space="preserve"> AUTONUMLGL </w:instrText>
      </w:r>
      <w:bookmarkStart w:id="35" w:name="_Toc112749019"/>
      <w:r w:rsidRPr="008B571E">
        <w:fldChar w:fldCharType="end"/>
      </w:r>
      <w:r w:rsidRPr="008B571E">
        <w:t xml:space="preserve"> </w:t>
      </w:r>
      <w:r w:rsidR="009B5EB2" w:rsidRPr="008B571E">
        <w:t xml:space="preserve">Les </w:t>
      </w:r>
      <w:r w:rsidR="00CC4F65">
        <w:t>intervenants du</w:t>
      </w:r>
      <w:r w:rsidR="009B5EB2" w:rsidRPr="008B571E">
        <w:t xml:space="preserve"> CPE</w:t>
      </w:r>
      <w:bookmarkEnd w:id="35"/>
    </w:p>
    <w:p w14:paraId="1CA58DE1" w14:textId="69128154" w:rsidR="008B571E" w:rsidRPr="008B571E" w:rsidRDefault="00CB50DF" w:rsidP="004D0718">
      <w:pPr>
        <w:pStyle w:val="Titre2"/>
        <w:spacing w:line="240" w:lineRule="auto"/>
      </w:pPr>
      <w:r w:rsidRPr="0005154E">
        <w:fldChar w:fldCharType="begin"/>
      </w:r>
      <w:r w:rsidRPr="0005154E">
        <w:instrText xml:space="preserve"> AUTONUMLGL </w:instrText>
      </w:r>
      <w:bookmarkStart w:id="36" w:name="_Toc112749020"/>
      <w:r w:rsidRPr="0005154E">
        <w:fldChar w:fldCharType="end"/>
      </w:r>
      <w:r w:rsidRPr="0005154E">
        <w:t xml:space="preserve"> </w:t>
      </w:r>
      <w:r w:rsidR="009B5EB2" w:rsidRPr="0005154E">
        <w:t xml:space="preserve">Le </w:t>
      </w:r>
      <w:r w:rsidR="0005154E">
        <w:t>M</w:t>
      </w:r>
      <w:r w:rsidR="009B5EB2" w:rsidRPr="0005154E">
        <w:t>aître d’</w:t>
      </w:r>
      <w:r w:rsidR="0005154E">
        <w:t>O</w:t>
      </w:r>
      <w:r w:rsidR="009B5EB2" w:rsidRPr="0005154E">
        <w:t>uvrage</w:t>
      </w:r>
      <w:bookmarkEnd w:id="36"/>
      <w:r w:rsidR="00EE6021">
        <w:fldChar w:fldCharType="begin"/>
      </w:r>
      <w:r w:rsidR="00EE6021">
        <w:instrText xml:space="preserve"> XE "</w:instrText>
      </w:r>
      <w:r w:rsidR="00EE6021" w:rsidRPr="00B84829">
        <w:instrText>Maître d’Ouvrage</w:instrText>
      </w:r>
      <w:r w:rsidR="00EE6021">
        <w:instrText xml:space="preserve">" \i </w:instrText>
      </w:r>
      <w:r w:rsidR="00EE6021">
        <w:fldChar w:fldCharType="end"/>
      </w:r>
    </w:p>
    <w:p w14:paraId="7F95BF39" w14:textId="77777777" w:rsidR="00525E4B" w:rsidRPr="00F97785" w:rsidRDefault="00525E4B" w:rsidP="004D0718">
      <w:pPr>
        <w:spacing w:line="240" w:lineRule="auto"/>
        <w:jc w:val="both"/>
        <w:rPr>
          <w:b/>
          <w:bCs/>
        </w:rPr>
      </w:pPr>
      <w:r w:rsidRPr="00F97785">
        <w:rPr>
          <w:rFonts w:cstheme="minorHAnsi"/>
        </w:rPr>
        <w:t xml:space="preserve">L’acheteur public pour le compte duquel les </w:t>
      </w:r>
      <w:r w:rsidRPr="00F97785">
        <w:rPr>
          <w:rFonts w:eastAsia="Calibri" w:cstheme="minorHAnsi"/>
        </w:rPr>
        <w:t>Actions</w:t>
      </w:r>
      <w:r w:rsidRPr="00F97785">
        <w:rPr>
          <w:rFonts w:cstheme="minorHAnsi"/>
        </w:rPr>
        <w:t xml:space="preserve"> de Rénovation </w:t>
      </w:r>
      <w:r>
        <w:rPr>
          <w:rFonts w:cstheme="minorHAnsi"/>
        </w:rPr>
        <w:t xml:space="preserve">et </w:t>
      </w:r>
      <w:r>
        <w:rPr>
          <w:rFonts w:cstheme="minorHAnsi"/>
          <w:color w:val="000000" w:themeColor="text1"/>
        </w:rPr>
        <w:t>le Bouquet d’Amélioration de la Performance</w:t>
      </w:r>
      <w:r w:rsidRPr="00752760">
        <w:rPr>
          <w:rFonts w:cstheme="minorHAnsi"/>
          <w:color w:val="000000" w:themeColor="text1"/>
        </w:rPr>
        <w:t xml:space="preserve"> </w:t>
      </w:r>
      <w:r w:rsidRPr="00F97785">
        <w:rPr>
          <w:rFonts w:cstheme="minorHAnsi"/>
        </w:rPr>
        <w:t>sont exécutés, dans le cadre d’un MPGP, est qualifié de Maître d’ouvrage.</w:t>
      </w:r>
    </w:p>
    <w:p w14:paraId="145AEF29" w14:textId="1022F01D" w:rsidR="00525E4B" w:rsidRDefault="00BD0871" w:rsidP="004D0718">
      <w:pPr>
        <w:spacing w:line="240" w:lineRule="auto"/>
        <w:jc w:val="both"/>
      </w:pPr>
      <w:r>
        <w:rPr>
          <w:rFonts w:eastAsia="Calibri" w:cstheme="minorHAnsi"/>
          <w:color w:val="000000" w:themeColor="text1"/>
        </w:rPr>
        <w:t xml:space="preserve">Dans le champ du </w:t>
      </w:r>
      <w:r w:rsidRPr="00752760">
        <w:rPr>
          <w:rFonts w:eastAsia="Calibri" w:cstheme="minorHAnsi"/>
          <w:color w:val="000000" w:themeColor="text1"/>
        </w:rPr>
        <w:t>Livre IV de la Deuxième Partie du Code de la Commande Publique</w:t>
      </w:r>
      <w:r w:rsidR="00874689">
        <w:rPr>
          <w:rFonts w:eastAsia="Calibri" w:cstheme="minorHAnsi"/>
          <w:color w:val="000000" w:themeColor="text1"/>
        </w:rPr>
        <w:t xml:space="preserve"> (</w:t>
      </w:r>
      <w:r w:rsidR="00874689" w:rsidRPr="00874689">
        <w:rPr>
          <w:rFonts w:eastAsia="Calibri" w:cstheme="minorHAnsi"/>
          <w:color w:val="000000" w:themeColor="text1"/>
        </w:rPr>
        <w:t>opérations de construction neuve ou de réhabilitation portant sur un ouvrage</w:t>
      </w:r>
      <w:r w:rsidR="00874689">
        <w:rPr>
          <w:rFonts w:eastAsia="Calibri" w:cstheme="minorHAnsi"/>
          <w:color w:val="000000" w:themeColor="text1"/>
        </w:rPr>
        <w:t>)</w:t>
      </w:r>
      <w:r w:rsidR="00607AC0">
        <w:rPr>
          <w:rFonts w:eastAsia="Calibri" w:cstheme="minorHAnsi"/>
          <w:color w:val="000000" w:themeColor="text1"/>
        </w:rPr>
        <w:t>, il s’agit de la personne responsable principal</w:t>
      </w:r>
      <w:r w:rsidR="00607AC0" w:rsidRPr="00607AC0">
        <w:rPr>
          <w:rFonts w:eastAsia="Calibri" w:cstheme="minorHAnsi"/>
          <w:color w:val="000000" w:themeColor="text1"/>
        </w:rPr>
        <w:t xml:space="preserve"> de l'ouvrage</w:t>
      </w:r>
      <w:r w:rsidR="00607AC0">
        <w:rPr>
          <w:rFonts w:eastAsia="Calibri" w:cstheme="minorHAnsi"/>
          <w:color w:val="000000" w:themeColor="text1"/>
        </w:rPr>
        <w:t xml:space="preserve"> et remplit une</w:t>
      </w:r>
      <w:r w:rsidR="00607AC0" w:rsidRPr="00607AC0">
        <w:rPr>
          <w:rFonts w:eastAsia="Calibri" w:cstheme="minorHAnsi"/>
          <w:color w:val="000000" w:themeColor="text1"/>
        </w:rPr>
        <w:t xml:space="preserve"> fonction d'intérêt général</w:t>
      </w:r>
      <w:r w:rsidR="00626048">
        <w:rPr>
          <w:rFonts w:eastAsia="Calibri" w:cstheme="minorHAnsi"/>
          <w:color w:val="000000" w:themeColor="text1"/>
        </w:rPr>
        <w:t xml:space="preserve"> </w:t>
      </w:r>
      <w:r w:rsidR="00626048" w:rsidRPr="00CB50DF">
        <w:t>(article L2411-1 du CCP)</w:t>
      </w:r>
      <w:r w:rsidR="006373DB">
        <w:t> :</w:t>
      </w:r>
    </w:p>
    <w:p w14:paraId="2897E36B" w14:textId="39B1C35B" w:rsidR="00544AA8" w:rsidRDefault="002E52F3" w:rsidP="00194226">
      <w:pPr>
        <w:pStyle w:val="Paragraphedeliste"/>
        <w:numPr>
          <w:ilvl w:val="0"/>
          <w:numId w:val="28"/>
        </w:numPr>
        <w:spacing w:line="240" w:lineRule="auto"/>
        <w:contextualSpacing w:val="0"/>
        <w:jc w:val="both"/>
      </w:pPr>
      <w:r>
        <w:t>Il</w:t>
      </w:r>
      <w:r w:rsidR="00544AA8">
        <w:t xml:space="preserve"> s’assure de la faisabilité et de l’opportunité de l’opération ;</w:t>
      </w:r>
    </w:p>
    <w:p w14:paraId="5358C6DB" w14:textId="30CA242E" w:rsidR="002E52F3" w:rsidRDefault="00544AA8" w:rsidP="00194226">
      <w:pPr>
        <w:pStyle w:val="Paragraphedeliste"/>
        <w:numPr>
          <w:ilvl w:val="0"/>
          <w:numId w:val="28"/>
        </w:numPr>
        <w:spacing w:line="240" w:lineRule="auto"/>
        <w:contextualSpacing w:val="0"/>
        <w:jc w:val="both"/>
      </w:pPr>
      <w:r>
        <w:t xml:space="preserve">Il </w:t>
      </w:r>
      <w:r w:rsidR="002E52F3">
        <w:t>détermine</w:t>
      </w:r>
      <w:r w:rsidR="00406838">
        <w:t xml:space="preserve"> sa localisation ; </w:t>
      </w:r>
    </w:p>
    <w:p w14:paraId="0073E0E7" w14:textId="57E5FB80" w:rsidR="002E52F3" w:rsidRDefault="002E52F3" w:rsidP="00194226">
      <w:pPr>
        <w:pStyle w:val="Paragraphedeliste"/>
        <w:numPr>
          <w:ilvl w:val="0"/>
          <w:numId w:val="28"/>
        </w:numPr>
        <w:spacing w:line="240" w:lineRule="auto"/>
        <w:contextualSpacing w:val="0"/>
        <w:jc w:val="both"/>
      </w:pPr>
      <w:r>
        <w:t>Il élabore le</w:t>
      </w:r>
      <w:r w:rsidR="00406838">
        <w:t xml:space="preserve"> programme ; </w:t>
      </w:r>
    </w:p>
    <w:p w14:paraId="71D7A73E" w14:textId="46417302" w:rsidR="002E52F3" w:rsidRDefault="002E52F3" w:rsidP="00194226">
      <w:pPr>
        <w:pStyle w:val="Paragraphedeliste"/>
        <w:numPr>
          <w:ilvl w:val="0"/>
          <w:numId w:val="28"/>
        </w:numPr>
        <w:spacing w:line="240" w:lineRule="auto"/>
        <w:contextualSpacing w:val="0"/>
        <w:jc w:val="both"/>
      </w:pPr>
      <w:r>
        <w:t xml:space="preserve">Il fixe </w:t>
      </w:r>
      <w:r w:rsidR="00406838">
        <w:t xml:space="preserve">l'enveloppe financière prévisionnelle ; </w:t>
      </w:r>
    </w:p>
    <w:p w14:paraId="5737F21E" w14:textId="546265F3" w:rsidR="002E52F3" w:rsidRDefault="00544AA8" w:rsidP="00194226">
      <w:pPr>
        <w:pStyle w:val="Paragraphedeliste"/>
        <w:numPr>
          <w:ilvl w:val="0"/>
          <w:numId w:val="28"/>
        </w:numPr>
        <w:spacing w:line="240" w:lineRule="auto"/>
        <w:contextualSpacing w:val="0"/>
        <w:jc w:val="both"/>
      </w:pPr>
      <w:r>
        <w:t>Il finance</w:t>
      </w:r>
      <w:r w:rsidR="00406838">
        <w:t xml:space="preserve"> l'opération ; </w:t>
      </w:r>
    </w:p>
    <w:p w14:paraId="47254DA7" w14:textId="00118584" w:rsidR="002E52F3" w:rsidRDefault="00544AA8" w:rsidP="00194226">
      <w:pPr>
        <w:pStyle w:val="Paragraphedeliste"/>
        <w:numPr>
          <w:ilvl w:val="0"/>
          <w:numId w:val="28"/>
        </w:numPr>
        <w:spacing w:line="240" w:lineRule="auto"/>
        <w:contextualSpacing w:val="0"/>
        <w:jc w:val="both"/>
      </w:pPr>
      <w:r>
        <w:t>I</w:t>
      </w:r>
      <w:r w:rsidR="0005154E">
        <w:t>l</w:t>
      </w:r>
      <w:r>
        <w:t xml:space="preserve"> choisit le</w:t>
      </w:r>
      <w:r w:rsidR="00406838">
        <w:t xml:space="preserve"> processus selon lequel l'ouvrage sera réalisé ; </w:t>
      </w:r>
    </w:p>
    <w:p w14:paraId="0570D3EB" w14:textId="41649AB9" w:rsidR="00406838" w:rsidRDefault="0005154E" w:rsidP="00194226">
      <w:pPr>
        <w:pStyle w:val="Paragraphedeliste"/>
        <w:numPr>
          <w:ilvl w:val="0"/>
          <w:numId w:val="28"/>
        </w:numPr>
        <w:spacing w:line="240" w:lineRule="auto"/>
        <w:contextualSpacing w:val="0"/>
        <w:jc w:val="both"/>
      </w:pPr>
      <w:r>
        <w:t>Il conclut</w:t>
      </w:r>
      <w:r w:rsidR="00406838">
        <w:t xml:space="preserve"> des marchés publics ayant pour objet les études et l'exécution des travaux de l'opération.</w:t>
      </w:r>
    </w:p>
    <w:p w14:paraId="56CD57E7" w14:textId="3976DBF2" w:rsidR="00CB50DF" w:rsidRDefault="00CB50DF" w:rsidP="00194226">
      <w:pPr>
        <w:pStyle w:val="Titre2"/>
        <w:spacing w:line="240" w:lineRule="auto"/>
      </w:pPr>
      <w:r w:rsidRPr="00AC6704">
        <w:fldChar w:fldCharType="begin"/>
      </w:r>
      <w:r w:rsidRPr="005A77D5">
        <w:instrText xml:space="preserve"> AUTONUMLGL </w:instrText>
      </w:r>
      <w:bookmarkStart w:id="37" w:name="_Toc112749021"/>
      <w:r w:rsidRPr="00AC6704">
        <w:fldChar w:fldCharType="end"/>
      </w:r>
      <w:r w:rsidRPr="005A77D5">
        <w:t xml:space="preserve"> </w:t>
      </w:r>
      <w:r w:rsidR="009B5EB2" w:rsidRPr="005A77D5">
        <w:t>L’assistant à maîtrise d’ouvrage (AMO)</w:t>
      </w:r>
      <w:bookmarkEnd w:id="37"/>
      <w:r w:rsidR="00EE6021">
        <w:fldChar w:fldCharType="begin"/>
      </w:r>
      <w:r w:rsidR="00EE6021">
        <w:instrText xml:space="preserve"> XE "</w:instrText>
      </w:r>
      <w:r w:rsidR="00EE6021" w:rsidRPr="00F8254B">
        <w:instrText>Assistant à maîtrise d’ouvrage (AMO)</w:instrText>
      </w:r>
      <w:r w:rsidR="00EE6021">
        <w:instrText xml:space="preserve">" \i </w:instrText>
      </w:r>
      <w:r w:rsidR="00EE6021">
        <w:fldChar w:fldCharType="end"/>
      </w:r>
    </w:p>
    <w:p w14:paraId="1128B5B8" w14:textId="77777777" w:rsidR="00451C2A" w:rsidRDefault="00451C2A" w:rsidP="00451C2A">
      <w:pPr>
        <w:spacing w:line="240" w:lineRule="auto"/>
        <w:jc w:val="both"/>
        <w:rPr>
          <w:rFonts w:eastAsia="Calibri"/>
        </w:rPr>
      </w:pPr>
      <w:r w:rsidRPr="00ED2FDC">
        <w:rPr>
          <w:rFonts w:eastAsia="Calibri"/>
        </w:rPr>
        <w:t xml:space="preserve">L’implication du Maître d’Ouvrage pour développer et suivre un CPE est un élément crucial dans la réussite du </w:t>
      </w:r>
      <w:r>
        <w:rPr>
          <w:rFonts w:eastAsia="Calibri"/>
        </w:rPr>
        <w:t>CPE</w:t>
      </w:r>
      <w:r w:rsidRPr="00ED2FDC">
        <w:rPr>
          <w:rFonts w:eastAsia="Calibri"/>
        </w:rPr>
        <w:t>. Elle doit se traduire par la création d’une équipe projet ou la mise à disposition de ressources humaines. Le</w:t>
      </w:r>
      <w:r>
        <w:rPr>
          <w:rFonts w:eastAsia="Calibri"/>
        </w:rPr>
        <w:t xml:space="preserve"> </w:t>
      </w:r>
      <w:r w:rsidRPr="00ED2FDC">
        <w:rPr>
          <w:rFonts w:eastAsia="Calibri"/>
        </w:rPr>
        <w:t xml:space="preserve">rôle peut être assuré par une ressource interne ou </w:t>
      </w:r>
      <w:r>
        <w:rPr>
          <w:rFonts w:eastAsia="Calibri"/>
        </w:rPr>
        <w:t>externalisée</w:t>
      </w:r>
      <w:r w:rsidRPr="00ED2FDC">
        <w:rPr>
          <w:rFonts w:eastAsia="Calibri"/>
        </w:rPr>
        <w:t>. Les compétences techniques,</w:t>
      </w:r>
      <w:r>
        <w:rPr>
          <w:rFonts w:eastAsia="Calibri"/>
        </w:rPr>
        <w:t xml:space="preserve"> architecturales, </w:t>
      </w:r>
      <w:r w:rsidRPr="00ED2FDC">
        <w:rPr>
          <w:rFonts w:eastAsia="Calibri"/>
        </w:rPr>
        <w:t>juridiques et financières sont indispensables de la préparation à l’aboutissement du contrat</w:t>
      </w:r>
      <w:r>
        <w:rPr>
          <w:rFonts w:eastAsia="Calibri"/>
        </w:rPr>
        <w:t xml:space="preserve">, </w:t>
      </w:r>
      <w:r w:rsidRPr="00026810">
        <w:rPr>
          <w:rFonts w:eastAsia="Calibri"/>
        </w:rPr>
        <w:t xml:space="preserve">compte tenu </w:t>
      </w:r>
      <w:r>
        <w:rPr>
          <w:rFonts w:eastAsia="Calibri"/>
        </w:rPr>
        <w:t xml:space="preserve">notamment </w:t>
      </w:r>
      <w:r w:rsidRPr="00026810">
        <w:rPr>
          <w:rFonts w:eastAsia="Calibri"/>
        </w:rPr>
        <w:t>de l’internalisation de l’équipe de maîtrise d’œuvre au sein du groupement Titulaire</w:t>
      </w:r>
      <w:r w:rsidRPr="00ED2FDC">
        <w:rPr>
          <w:rFonts w:eastAsia="Calibri"/>
        </w:rPr>
        <w:t>.</w:t>
      </w:r>
    </w:p>
    <w:p w14:paraId="61D01C86" w14:textId="57973E5F" w:rsidR="00451C2A" w:rsidRDefault="00451C2A" w:rsidP="00451C2A">
      <w:pPr>
        <w:spacing w:line="240" w:lineRule="auto"/>
        <w:jc w:val="both"/>
        <w:rPr>
          <w:rFonts w:eastAsia="Calibri"/>
        </w:rPr>
      </w:pPr>
      <w:r w:rsidRPr="0031037E">
        <w:rPr>
          <w:rFonts w:eastAsia="Calibri"/>
        </w:rPr>
        <w:lastRenderedPageBreak/>
        <w:t xml:space="preserve">Face à la difficulté de réunir </w:t>
      </w:r>
      <w:r>
        <w:rPr>
          <w:rFonts w:eastAsia="Calibri"/>
        </w:rPr>
        <w:t xml:space="preserve">en interne </w:t>
      </w:r>
      <w:r w:rsidRPr="0031037E">
        <w:rPr>
          <w:rFonts w:eastAsia="Calibri"/>
        </w:rPr>
        <w:t>toutes ces compétences</w:t>
      </w:r>
      <w:r>
        <w:rPr>
          <w:rFonts w:eastAsia="Calibri"/>
        </w:rPr>
        <w:t xml:space="preserve"> qui permettront de fixer et d’atteindre les objectifs du contrat, le maitre d’ouvrage peut s’</w:t>
      </w:r>
      <w:r w:rsidRPr="0031037E">
        <w:rPr>
          <w:rFonts w:eastAsia="Calibri"/>
        </w:rPr>
        <w:t>entoure</w:t>
      </w:r>
      <w:r>
        <w:rPr>
          <w:rFonts w:eastAsia="Calibri"/>
        </w:rPr>
        <w:t>r</w:t>
      </w:r>
      <w:r w:rsidRPr="0031037E">
        <w:rPr>
          <w:rFonts w:eastAsia="Calibri"/>
        </w:rPr>
        <w:t xml:space="preserve"> dès le début </w:t>
      </w:r>
      <w:r>
        <w:rPr>
          <w:rFonts w:eastAsia="Calibri"/>
        </w:rPr>
        <w:t>des</w:t>
      </w:r>
      <w:r w:rsidRPr="0031037E">
        <w:rPr>
          <w:rFonts w:eastAsia="Calibri"/>
        </w:rPr>
        <w:t xml:space="preserve"> réflexion</w:t>
      </w:r>
      <w:r>
        <w:rPr>
          <w:rFonts w:eastAsia="Calibri"/>
        </w:rPr>
        <w:t>s</w:t>
      </w:r>
      <w:r w:rsidRPr="0031037E">
        <w:rPr>
          <w:rFonts w:eastAsia="Calibri"/>
        </w:rPr>
        <w:t xml:space="preserve"> d’un assistant à maîtrise d’ouvrage </w:t>
      </w:r>
      <w:r>
        <w:rPr>
          <w:rFonts w:eastAsia="Calibri"/>
        </w:rPr>
        <w:t xml:space="preserve">(AMO) </w:t>
      </w:r>
      <w:r w:rsidRPr="0031037E">
        <w:rPr>
          <w:rFonts w:eastAsia="Calibri"/>
        </w:rPr>
        <w:t>spécialisé dans le montage de projets de CPE</w:t>
      </w:r>
      <w:r>
        <w:rPr>
          <w:rFonts w:eastAsia="Calibri"/>
        </w:rPr>
        <w:t>.</w:t>
      </w:r>
    </w:p>
    <w:p w14:paraId="5A0DC383" w14:textId="3AFB9250" w:rsidR="009B5EB2" w:rsidRDefault="009B5EB2" w:rsidP="00DB6915">
      <w:pPr>
        <w:spacing w:line="240" w:lineRule="auto"/>
        <w:jc w:val="both"/>
      </w:pPr>
      <w:r w:rsidRPr="004A308E">
        <w:rPr>
          <w:rFonts w:eastAsia="Calibri"/>
        </w:rPr>
        <w:t>L</w:t>
      </w:r>
      <w:r w:rsidR="0036352A">
        <w:rPr>
          <w:rFonts w:eastAsia="Calibri"/>
        </w:rPr>
        <w:t>e marché d</w:t>
      </w:r>
      <w:r w:rsidRPr="004A308E">
        <w:rPr>
          <w:rFonts w:eastAsia="Calibri"/>
        </w:rPr>
        <w:t xml:space="preserve">’assistance à maîtrise d’ouvrage </w:t>
      </w:r>
      <w:r w:rsidRPr="004A308E">
        <w:t>(</w:t>
      </w:r>
      <w:hyperlink r:id="rId14" w:history="1">
        <w:r w:rsidRPr="004A308E">
          <w:t>Article L2422-2</w:t>
        </w:r>
      </w:hyperlink>
      <w:r>
        <w:t xml:space="preserve"> CCP) est </w:t>
      </w:r>
      <w:r w:rsidR="006373DB" w:rsidRPr="006373DB">
        <w:t xml:space="preserve">le </w:t>
      </w:r>
      <w:r>
        <w:t>contrat</w:t>
      </w:r>
      <w:r w:rsidRPr="00BD0809">
        <w:t xml:space="preserve"> par lequel un</w:t>
      </w:r>
      <w:r>
        <w:t xml:space="preserve"> Maître d’Ouvrage </w:t>
      </w:r>
      <w:r w:rsidRPr="00BD0809">
        <w:t>publi</w:t>
      </w:r>
      <w:r>
        <w:t xml:space="preserve">c ou </w:t>
      </w:r>
      <w:r w:rsidRPr="00BD0809">
        <w:t xml:space="preserve">privé fait appel aux </w:t>
      </w:r>
      <w:r w:rsidRPr="00DB6915">
        <w:t xml:space="preserve">services d’une personne publique ou privée </w:t>
      </w:r>
      <w:r w:rsidR="00A315F5" w:rsidRPr="00DB6915">
        <w:t>spécialisée</w:t>
      </w:r>
      <w:r w:rsidR="005311A1" w:rsidRPr="00DB6915">
        <w:t xml:space="preserve"> dans un ou plusieurs domaines,</w:t>
      </w:r>
      <w:r w:rsidR="00A315F5" w:rsidRPr="00DB6915">
        <w:t xml:space="preserve"> </w:t>
      </w:r>
      <w:r w:rsidRPr="00DB6915">
        <w:t>pour la réalisation d’études</w:t>
      </w:r>
      <w:r w:rsidRPr="00BD0809">
        <w:t xml:space="preserve"> </w:t>
      </w:r>
      <w:r w:rsidR="00BB4732" w:rsidRPr="00DB6915">
        <w:t>ou de prestations</w:t>
      </w:r>
      <w:r w:rsidR="00BB4732">
        <w:t xml:space="preserve"> </w:t>
      </w:r>
      <w:r w:rsidRPr="00DB6915">
        <w:t>nécessaires à la réalisation ou à la conduite d’un projet</w:t>
      </w:r>
      <w:r>
        <w:t xml:space="preserve">. </w:t>
      </w:r>
      <w:r w:rsidR="0036352A">
        <w:rPr>
          <w:rFonts w:eastAsia="Calibri"/>
        </w:rPr>
        <w:t>L’AMO</w:t>
      </w:r>
      <w:r w:rsidR="0036352A" w:rsidRPr="0032297F">
        <w:t xml:space="preserve"> apporte </w:t>
      </w:r>
      <w:r w:rsidR="0036352A">
        <w:t xml:space="preserve">au maître d’ouvrage une aide spécialisée, le conseille et l’accompagne dans l’élaboration et la </w:t>
      </w:r>
      <w:r w:rsidR="0036352A" w:rsidRPr="0036352A">
        <w:t>réalisation du projet. Il facilite la coordination de projet et permet au maître d’ouvrage de réaliser le projet envisagé au titre de ses prérogatives.</w:t>
      </w:r>
    </w:p>
    <w:p w14:paraId="108484B3" w14:textId="77777777" w:rsidR="0005154E" w:rsidRDefault="0005154E" w:rsidP="00DB6915">
      <w:pPr>
        <w:spacing w:line="240" w:lineRule="auto"/>
        <w:jc w:val="both"/>
        <w:rPr>
          <w:rFonts w:eastAsia="Calibri"/>
        </w:rPr>
      </w:pPr>
      <w:r>
        <w:rPr>
          <w:rFonts w:eastAsia="Calibri"/>
        </w:rPr>
        <w:t>L’AMO peut intervenir en amont de la création du CPE et faciliter la définition du contrat et en aval pour garantir la bonne marche du contrat.</w:t>
      </w:r>
    </w:p>
    <w:p w14:paraId="46E38DFC" w14:textId="77777777" w:rsidR="0005154E" w:rsidRPr="00763863" w:rsidRDefault="0005154E" w:rsidP="00DB6915">
      <w:pPr>
        <w:spacing w:line="240" w:lineRule="auto"/>
        <w:jc w:val="both"/>
        <w:rPr>
          <w:rFonts w:eastAsia="Calibri"/>
          <w:u w:val="single"/>
        </w:rPr>
      </w:pPr>
      <w:r w:rsidRPr="00763863">
        <w:rPr>
          <w:rFonts w:eastAsia="Calibri"/>
          <w:u w:val="single"/>
        </w:rPr>
        <w:t>En phase amont :</w:t>
      </w:r>
    </w:p>
    <w:p w14:paraId="22CAD6EA" w14:textId="77777777" w:rsidR="0005154E" w:rsidRDefault="0005154E" w:rsidP="00DB6915">
      <w:pPr>
        <w:spacing w:line="240" w:lineRule="auto"/>
        <w:jc w:val="both"/>
        <w:rPr>
          <w:rFonts w:eastAsia="Calibri"/>
        </w:rPr>
      </w:pPr>
      <w:r>
        <w:rPr>
          <w:rFonts w:eastAsia="Calibri"/>
        </w:rPr>
        <w:t>L’AMO peut assister le maitre d’ouvrage dans la réalisation de l’état des lieux afin de l’aider à modéliser le projet de rénovation énergétique :</w:t>
      </w:r>
    </w:p>
    <w:p w14:paraId="5AA384BB" w14:textId="317A368B"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Réalisation des études énergétiques préalables afin de définir la situation de référence, modélisation des scénarios de rénovation énergétiques</w:t>
      </w:r>
      <w:r w:rsidR="00451C2A">
        <w:rPr>
          <w:rFonts w:eastAsia="Calibri"/>
          <w:color w:val="000000" w:themeColor="text1"/>
        </w:rPr>
        <w:t> ;</w:t>
      </w:r>
    </w:p>
    <w:p w14:paraId="4E27DCD7" w14:textId="75272161"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 xml:space="preserve">Détermination des principaux choix du </w:t>
      </w:r>
      <w:r w:rsidR="00F80D69">
        <w:rPr>
          <w:rFonts w:eastAsia="Calibri"/>
          <w:color w:val="000000" w:themeColor="text1"/>
        </w:rPr>
        <w:t>CPE</w:t>
      </w:r>
      <w:r w:rsidRPr="00221073">
        <w:rPr>
          <w:rFonts w:eastAsia="Calibri"/>
          <w:color w:val="000000" w:themeColor="text1"/>
        </w:rPr>
        <w:t> : périmètre, famille du CPE (Fournitures et Services, Travaux et Services, Globaux), objectif d’amélioration minimum de la performance énergétique garanti, coût et durée prévisionnels, intégration d’autres dimensions</w:t>
      </w:r>
      <w:r w:rsidR="00451C2A">
        <w:rPr>
          <w:rFonts w:eastAsia="Calibri"/>
          <w:color w:val="000000" w:themeColor="text1"/>
        </w:rPr>
        <w:t> ;</w:t>
      </w:r>
    </w:p>
    <w:p w14:paraId="6A4FF4F3" w14:textId="388B32C9"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Définition du montage juridique et financier et procédure de passation adaptés au CPE</w:t>
      </w:r>
      <w:r w:rsidR="00451C2A">
        <w:rPr>
          <w:rFonts w:eastAsia="Calibri"/>
          <w:color w:val="000000" w:themeColor="text1"/>
        </w:rPr>
        <w:t> ;</w:t>
      </w:r>
    </w:p>
    <w:p w14:paraId="18750E1C" w14:textId="77777777"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Calendrier prévisionnel de mise en œuvre du CPE.</w:t>
      </w:r>
    </w:p>
    <w:p w14:paraId="5DAAF700" w14:textId="77777777" w:rsidR="0005154E" w:rsidRDefault="0005154E" w:rsidP="00DB6915">
      <w:pPr>
        <w:spacing w:line="240" w:lineRule="auto"/>
        <w:jc w:val="both"/>
        <w:rPr>
          <w:rFonts w:eastAsia="Calibri"/>
        </w:rPr>
      </w:pPr>
      <w:r>
        <w:rPr>
          <w:rFonts w:eastAsia="Calibri"/>
        </w:rPr>
        <w:t>En phase amont, les missions de l’AMO vont se poursuivre afin de :</w:t>
      </w:r>
    </w:p>
    <w:p w14:paraId="02D2A900" w14:textId="4F281D03"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Assister le Maître d’Ouvrage dans la rédaction du dossier de consultation des entreprises comprenant :  le programme fonctionnel, le projet de contrat, la définition des critères de sélection des offres et le déroulement de la procédure</w:t>
      </w:r>
      <w:r w:rsidR="00451C2A">
        <w:rPr>
          <w:rFonts w:eastAsia="Calibri"/>
          <w:color w:val="000000" w:themeColor="text1"/>
        </w:rPr>
        <w:t> ;</w:t>
      </w:r>
    </w:p>
    <w:p w14:paraId="66AA0AFD" w14:textId="50EDEDAE" w:rsidR="0005154E" w:rsidRDefault="0005154E" w:rsidP="00DB6915">
      <w:pPr>
        <w:pStyle w:val="Paragraphedeliste"/>
        <w:numPr>
          <w:ilvl w:val="0"/>
          <w:numId w:val="9"/>
        </w:numPr>
        <w:spacing w:line="240" w:lineRule="auto"/>
        <w:contextualSpacing w:val="0"/>
        <w:jc w:val="both"/>
        <w:rPr>
          <w:rFonts w:eastAsia="Calibri"/>
        </w:rPr>
      </w:pPr>
      <w:r w:rsidRPr="00221073">
        <w:rPr>
          <w:rFonts w:eastAsia="Calibri"/>
          <w:color w:val="000000" w:themeColor="text1"/>
        </w:rPr>
        <w:t>Aider le Maître d’Ouvrage pour sélectionner le meilleur candidat notamment dans les échanges préalable</w:t>
      </w:r>
      <w:r w:rsidR="00603231">
        <w:rPr>
          <w:rFonts w:eastAsia="Calibri"/>
          <w:color w:val="000000" w:themeColor="text1"/>
        </w:rPr>
        <w:t>s</w:t>
      </w:r>
      <w:r w:rsidRPr="00221073">
        <w:rPr>
          <w:rFonts w:eastAsia="Calibri"/>
          <w:color w:val="000000" w:themeColor="text1"/>
        </w:rPr>
        <w:t xml:space="preserve"> à la sélection, analyse des offres des candidats et rédaction du rapport d’analyse. Il aura notamment un rôle très important dans les procédures de passation de dialogue compétitif ou des procédures concurrentielles avec négociation qui requièrent des échanges approfondis avec le ou les candidats lorsque le marché est défini comme « particulièrement complexe »</w:t>
      </w:r>
      <w:r w:rsidR="009478F1">
        <w:rPr>
          <w:rFonts w:eastAsia="Calibri"/>
          <w:color w:val="000000" w:themeColor="text1"/>
        </w:rPr>
        <w:t>.</w:t>
      </w:r>
    </w:p>
    <w:p w14:paraId="24746946" w14:textId="77777777" w:rsidR="0005154E" w:rsidRPr="00C17C3F" w:rsidRDefault="0005154E" w:rsidP="00DB6915">
      <w:pPr>
        <w:spacing w:line="240" w:lineRule="auto"/>
        <w:jc w:val="both"/>
        <w:rPr>
          <w:rFonts w:eastAsia="Calibri"/>
          <w:u w:val="single"/>
        </w:rPr>
      </w:pPr>
      <w:r w:rsidRPr="00C17C3F">
        <w:rPr>
          <w:rFonts w:eastAsia="Calibri"/>
          <w:u w:val="single"/>
        </w:rPr>
        <w:t>En phase de mise en œuvre du CPE :</w:t>
      </w:r>
    </w:p>
    <w:p w14:paraId="20F77959" w14:textId="77777777" w:rsidR="0005154E" w:rsidRDefault="0005154E" w:rsidP="00DB6915">
      <w:pPr>
        <w:spacing w:line="240" w:lineRule="auto"/>
        <w:jc w:val="both"/>
        <w:rPr>
          <w:rFonts w:eastAsia="Calibri"/>
        </w:rPr>
      </w:pPr>
      <w:r>
        <w:rPr>
          <w:rFonts w:eastAsia="Calibri"/>
        </w:rPr>
        <w:t>Les actions de l’AMO peuvent se poursuivre au-delà avec notamment :</w:t>
      </w:r>
    </w:p>
    <w:p w14:paraId="50F719C8" w14:textId="47455A15" w:rsidR="0005154E" w:rsidRPr="00221073"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 xml:space="preserve">Une assistance lors de la réalisation et de la réception des </w:t>
      </w:r>
      <w:r>
        <w:rPr>
          <w:rFonts w:eastAsia="Calibri"/>
          <w:color w:val="000000" w:themeColor="text1"/>
        </w:rPr>
        <w:t>Actions de Rénovation</w:t>
      </w:r>
      <w:r w:rsidRPr="00221073">
        <w:rPr>
          <w:rFonts w:eastAsia="Calibri"/>
          <w:color w:val="000000" w:themeColor="text1"/>
        </w:rPr>
        <w:t xml:space="preserve"> (participation aux réunions de chantier et réception des </w:t>
      </w:r>
      <w:r>
        <w:rPr>
          <w:rFonts w:eastAsia="Calibri"/>
          <w:color w:val="000000" w:themeColor="text1"/>
        </w:rPr>
        <w:t>Actions de Rénovation</w:t>
      </w:r>
      <w:r w:rsidRPr="00221073">
        <w:rPr>
          <w:rFonts w:eastAsia="Calibri"/>
          <w:color w:val="000000" w:themeColor="text1"/>
        </w:rPr>
        <w:t>)</w:t>
      </w:r>
      <w:r w:rsidR="009478F1">
        <w:rPr>
          <w:rFonts w:eastAsia="Calibri"/>
          <w:color w:val="000000" w:themeColor="text1"/>
        </w:rPr>
        <w:t> ;</w:t>
      </w:r>
    </w:p>
    <w:p w14:paraId="32A4EE51" w14:textId="1D7D67FA" w:rsidR="0005154E" w:rsidRDefault="0005154E" w:rsidP="00DB6915">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 xml:space="preserve">Une assistance tout au long de la durée du contrat pour accompagner le </w:t>
      </w:r>
      <w:r>
        <w:rPr>
          <w:rFonts w:eastAsia="Calibri"/>
          <w:color w:val="000000" w:themeColor="text1"/>
        </w:rPr>
        <w:t>Maître d’Ouvrage</w:t>
      </w:r>
      <w:r w:rsidRPr="00221073">
        <w:rPr>
          <w:rFonts w:eastAsia="Calibri"/>
          <w:color w:val="000000" w:themeColor="text1"/>
        </w:rPr>
        <w:t xml:space="preserve"> (participation aux réunions annuelles, suivi et évaluation des performances, durabilité des actions d’amélioration de la performance énergétique, suivi des mesures correctives…).</w:t>
      </w:r>
    </w:p>
    <w:p w14:paraId="21FFA280" w14:textId="1848B12E" w:rsidR="009B5EB2" w:rsidRPr="00CB50DF" w:rsidRDefault="00CB50DF" w:rsidP="00DB6915">
      <w:pPr>
        <w:pStyle w:val="Titre2"/>
        <w:spacing w:line="240" w:lineRule="auto"/>
      </w:pPr>
      <w:r w:rsidRPr="008B571E">
        <w:fldChar w:fldCharType="begin"/>
      </w:r>
      <w:r w:rsidRPr="008B571E">
        <w:instrText xml:space="preserve"> AUTONUMLGL </w:instrText>
      </w:r>
      <w:bookmarkStart w:id="38" w:name="_Toc112749022"/>
      <w:r w:rsidRPr="008B571E">
        <w:fldChar w:fldCharType="end"/>
      </w:r>
      <w:r w:rsidRPr="008B571E">
        <w:t xml:space="preserve"> </w:t>
      </w:r>
      <w:r w:rsidR="009B5EB2" w:rsidRPr="00CB50DF">
        <w:t>L</w:t>
      </w:r>
      <w:r w:rsidR="00EE6021">
        <w:t>e Titulaire</w:t>
      </w:r>
      <w:r w:rsidR="00EE6021">
        <w:fldChar w:fldCharType="begin"/>
      </w:r>
      <w:r w:rsidR="00EE6021">
        <w:instrText xml:space="preserve"> XE "</w:instrText>
      </w:r>
      <w:r w:rsidR="00EE6021" w:rsidRPr="00971E06">
        <w:instrText>Titulaire</w:instrText>
      </w:r>
      <w:r w:rsidR="00EE6021">
        <w:instrText xml:space="preserve">" \i </w:instrText>
      </w:r>
      <w:r w:rsidR="00EE6021">
        <w:fldChar w:fldCharType="end"/>
      </w:r>
      <w:r w:rsidR="00EE6021">
        <w:t> : l</w:t>
      </w:r>
      <w:r w:rsidR="009B5EB2" w:rsidRPr="00CB50DF">
        <w:t xml:space="preserve">a Société de Services d’Efficacité </w:t>
      </w:r>
      <w:r w:rsidR="00EE6021" w:rsidRPr="00CB50DF">
        <w:t>Énergétique</w:t>
      </w:r>
      <w:r w:rsidR="009B5EB2" w:rsidRPr="00CB50DF">
        <w:t xml:space="preserve"> (SSEE)</w:t>
      </w:r>
      <w:bookmarkEnd w:id="38"/>
    </w:p>
    <w:p w14:paraId="1D82400A" w14:textId="37C1F9DE" w:rsidR="009A644D" w:rsidRPr="00334362" w:rsidRDefault="009478F1" w:rsidP="0038539F">
      <w:pPr>
        <w:pStyle w:val="Titre3"/>
      </w:pPr>
      <w:r w:rsidRPr="008B571E">
        <w:fldChar w:fldCharType="begin"/>
      </w:r>
      <w:r w:rsidRPr="008B571E">
        <w:instrText xml:space="preserve"> AUTONUMLGL </w:instrText>
      </w:r>
      <w:bookmarkStart w:id="39" w:name="_Toc112749023"/>
      <w:r w:rsidRPr="008B571E">
        <w:fldChar w:fldCharType="end"/>
      </w:r>
      <w:r w:rsidR="00EC7B22">
        <w:t xml:space="preserve"> </w:t>
      </w:r>
      <w:r w:rsidR="009A644D" w:rsidRPr="00452406">
        <w:t xml:space="preserve">Forme du </w:t>
      </w:r>
      <w:r w:rsidR="009A644D">
        <w:t>Titulaire</w:t>
      </w:r>
      <w:bookmarkEnd w:id="39"/>
    </w:p>
    <w:p w14:paraId="5B504AE5" w14:textId="38F05E9E" w:rsidR="00DA5770" w:rsidRDefault="009B5EB2" w:rsidP="00DB6915">
      <w:pPr>
        <w:pStyle w:val="doc-ti"/>
        <w:shd w:val="clear" w:color="auto" w:fill="FFFFFF"/>
        <w:spacing w:before="240" w:beforeAutospacing="0" w:after="120" w:afterAutospacing="0"/>
        <w:jc w:val="both"/>
        <w:rPr>
          <w:rFonts w:asciiTheme="minorHAnsi" w:eastAsia="Calibri" w:hAnsiTheme="minorHAnsi" w:cstheme="minorBidi"/>
          <w:sz w:val="22"/>
          <w:szCs w:val="22"/>
          <w:lang w:eastAsia="en-US"/>
        </w:rPr>
      </w:pPr>
      <w:r w:rsidRPr="00760B14">
        <w:rPr>
          <w:rFonts w:asciiTheme="minorHAnsi" w:eastAsia="Calibri" w:hAnsiTheme="minorHAnsi" w:cstheme="minorBidi"/>
          <w:sz w:val="22"/>
          <w:szCs w:val="22"/>
          <w:lang w:eastAsia="en-US"/>
        </w:rPr>
        <w:lastRenderedPageBreak/>
        <w:t xml:space="preserve">Dans le cadre d’un CPE, </w:t>
      </w:r>
      <w:r w:rsidR="00BD69D1" w:rsidRPr="00760B14">
        <w:rPr>
          <w:rFonts w:asciiTheme="minorHAnsi" w:eastAsia="Calibri" w:hAnsiTheme="minorHAnsi" w:cstheme="minorBidi"/>
          <w:sz w:val="22"/>
          <w:szCs w:val="22"/>
          <w:lang w:eastAsia="en-US"/>
        </w:rPr>
        <w:t>le Titulaire du Ma</w:t>
      </w:r>
      <w:r w:rsidR="00DE78DF">
        <w:rPr>
          <w:rFonts w:asciiTheme="minorHAnsi" w:eastAsia="Calibri" w:hAnsiTheme="minorHAnsi" w:cstheme="minorBidi"/>
          <w:sz w:val="22"/>
          <w:szCs w:val="22"/>
          <w:lang w:eastAsia="en-US"/>
        </w:rPr>
        <w:t>r</w:t>
      </w:r>
      <w:r w:rsidR="00BD69D1" w:rsidRPr="00760B14">
        <w:rPr>
          <w:rFonts w:asciiTheme="minorHAnsi" w:eastAsia="Calibri" w:hAnsiTheme="minorHAnsi" w:cstheme="minorBidi"/>
          <w:sz w:val="22"/>
          <w:szCs w:val="22"/>
          <w:lang w:eastAsia="en-US"/>
        </w:rPr>
        <w:t xml:space="preserve">ché est </w:t>
      </w:r>
      <w:r w:rsidR="009478F1">
        <w:rPr>
          <w:rFonts w:asciiTheme="minorHAnsi" w:eastAsia="Calibri" w:hAnsiTheme="minorHAnsi" w:cstheme="minorBidi"/>
          <w:sz w:val="22"/>
          <w:szCs w:val="22"/>
          <w:lang w:eastAsia="en-US"/>
        </w:rPr>
        <w:t>communément dénommé</w:t>
      </w:r>
      <w:r w:rsidR="00BD69D1" w:rsidRPr="00760B14">
        <w:rPr>
          <w:rFonts w:asciiTheme="minorHAnsi" w:eastAsia="Calibri" w:hAnsiTheme="minorHAnsi" w:cstheme="minorBidi"/>
          <w:sz w:val="22"/>
          <w:szCs w:val="22"/>
          <w:lang w:eastAsia="en-US"/>
        </w:rPr>
        <w:t xml:space="preserve"> « </w:t>
      </w:r>
      <w:r w:rsidRPr="00760B14">
        <w:rPr>
          <w:rFonts w:asciiTheme="minorHAnsi" w:eastAsia="Calibri" w:hAnsiTheme="minorHAnsi" w:cstheme="minorBidi"/>
          <w:sz w:val="22"/>
          <w:szCs w:val="22"/>
          <w:lang w:eastAsia="en-US"/>
        </w:rPr>
        <w:t>sociétés de service d’efficacité énergétique</w:t>
      </w:r>
      <w:r w:rsidR="00BD69D1" w:rsidRPr="00760B14">
        <w:rPr>
          <w:rFonts w:asciiTheme="minorHAnsi" w:eastAsia="Calibri" w:hAnsiTheme="minorHAnsi" w:cstheme="minorBidi"/>
          <w:sz w:val="22"/>
          <w:szCs w:val="22"/>
          <w:lang w:eastAsia="en-US"/>
        </w:rPr>
        <w:t> (SSEE) »</w:t>
      </w:r>
      <w:r w:rsidRPr="00760B14">
        <w:rPr>
          <w:rFonts w:asciiTheme="minorHAnsi" w:eastAsia="Calibri" w:hAnsiTheme="minorHAnsi" w:cstheme="minorBidi"/>
          <w:sz w:val="22"/>
          <w:szCs w:val="22"/>
          <w:lang w:eastAsia="en-US"/>
        </w:rPr>
        <w:t xml:space="preserve"> </w:t>
      </w:r>
      <w:r w:rsidR="00BD69D1" w:rsidRPr="00760B14">
        <w:rPr>
          <w:rFonts w:asciiTheme="minorHAnsi" w:eastAsia="Calibri" w:hAnsiTheme="minorHAnsi" w:cstheme="minorBidi"/>
          <w:sz w:val="22"/>
          <w:szCs w:val="22"/>
          <w:lang w:eastAsia="en-US"/>
        </w:rPr>
        <w:t>ou</w:t>
      </w:r>
      <w:r w:rsidR="00760B14" w:rsidRPr="00760B14">
        <w:rPr>
          <w:rFonts w:asciiTheme="minorHAnsi" w:eastAsia="Calibri" w:hAnsiTheme="minorHAnsi" w:cstheme="minorBidi"/>
          <w:sz w:val="22"/>
          <w:szCs w:val="22"/>
          <w:lang w:eastAsia="en-US"/>
        </w:rPr>
        <w:t xml:space="preserve"> encore</w:t>
      </w:r>
      <w:r w:rsidRPr="00760B14">
        <w:rPr>
          <w:rFonts w:asciiTheme="minorHAnsi" w:eastAsia="Calibri" w:hAnsiTheme="minorHAnsi" w:cstheme="minorBidi"/>
          <w:sz w:val="22"/>
          <w:szCs w:val="22"/>
          <w:lang w:eastAsia="en-US"/>
        </w:rPr>
        <w:t xml:space="preserve"> « opérateur d’efficacité énergétique » ou « opérateur </w:t>
      </w:r>
      <w:r w:rsidR="00760B14" w:rsidRPr="00760B14">
        <w:rPr>
          <w:rFonts w:asciiTheme="minorHAnsi" w:eastAsia="Calibri" w:hAnsiTheme="minorHAnsi" w:cstheme="minorBidi"/>
          <w:sz w:val="22"/>
          <w:szCs w:val="22"/>
          <w:lang w:eastAsia="en-US"/>
        </w:rPr>
        <w:t xml:space="preserve">économique </w:t>
      </w:r>
      <w:r w:rsidRPr="00760B14">
        <w:rPr>
          <w:rFonts w:asciiTheme="minorHAnsi" w:eastAsia="Calibri" w:hAnsiTheme="minorHAnsi" w:cstheme="minorBidi"/>
          <w:sz w:val="22"/>
          <w:szCs w:val="22"/>
          <w:lang w:eastAsia="en-US"/>
        </w:rPr>
        <w:t xml:space="preserve">du </w:t>
      </w:r>
      <w:r w:rsidR="00760B14" w:rsidRPr="00760B14">
        <w:rPr>
          <w:rFonts w:asciiTheme="minorHAnsi" w:eastAsia="Calibri" w:hAnsiTheme="minorHAnsi" w:cstheme="minorBidi"/>
          <w:sz w:val="22"/>
          <w:szCs w:val="22"/>
          <w:lang w:eastAsia="en-US"/>
        </w:rPr>
        <w:t>CPE »</w:t>
      </w:r>
      <w:r w:rsidRPr="00760B14">
        <w:rPr>
          <w:rFonts w:asciiTheme="minorHAnsi" w:eastAsia="Calibri" w:hAnsiTheme="minorHAnsi" w:cstheme="minorBidi"/>
          <w:sz w:val="22"/>
          <w:szCs w:val="22"/>
          <w:lang w:eastAsia="en-US"/>
        </w:rPr>
        <w:t>.</w:t>
      </w:r>
    </w:p>
    <w:p w14:paraId="0A78D03C" w14:textId="0022BDEA" w:rsidR="00EC7B22" w:rsidRPr="00860C1B" w:rsidRDefault="006928E4" w:rsidP="00DB6915">
      <w:pPr>
        <w:spacing w:line="240" w:lineRule="auto"/>
        <w:jc w:val="both"/>
        <w:rPr>
          <w:rFonts w:eastAsia="Calibri"/>
        </w:rPr>
      </w:pPr>
      <w:r w:rsidRPr="00860C1B">
        <w:rPr>
          <w:rFonts w:eastAsia="Calibri"/>
        </w:rPr>
        <w:t xml:space="preserve">Les candidats peuvent se présenter à l’attribution du Marché sous la forme d’une entreprise unique (candidat individuel) ou sous la forme d’un groupement d’opérateurs économiques, conformément à l’article R.2142-19 du Code de la commande publique. </w:t>
      </w:r>
    </w:p>
    <w:p w14:paraId="236D3182" w14:textId="6BD4000C" w:rsidR="009B5EB2" w:rsidRDefault="009B5EB2" w:rsidP="00DB6915">
      <w:pPr>
        <w:spacing w:line="240" w:lineRule="auto"/>
        <w:jc w:val="both"/>
      </w:pPr>
      <w:r w:rsidRPr="004A308E">
        <w:rPr>
          <w:rFonts w:eastAsia="Calibri"/>
        </w:rPr>
        <w:t>Le groupement</w:t>
      </w:r>
      <w:r w:rsidR="00754350">
        <w:rPr>
          <w:rFonts w:eastAsia="Calibri"/>
        </w:rPr>
        <w:t xml:space="preserve"> d’opérate</w:t>
      </w:r>
      <w:r w:rsidR="001A679B">
        <w:rPr>
          <w:rFonts w:eastAsia="Calibri"/>
        </w:rPr>
        <w:t xml:space="preserve">urs </w:t>
      </w:r>
      <w:r w:rsidR="00427840">
        <w:rPr>
          <w:rFonts w:eastAsia="Calibri"/>
        </w:rPr>
        <w:t>économiques</w:t>
      </w:r>
      <w:r w:rsidRPr="004A308E">
        <w:rPr>
          <w:rFonts w:eastAsia="Calibri"/>
        </w:rPr>
        <w:t>, encore appelé « </w:t>
      </w:r>
      <w:r w:rsidR="00EC7B22" w:rsidRPr="004A308E">
        <w:rPr>
          <w:rFonts w:eastAsia="Calibri"/>
        </w:rPr>
        <w:t>cotraitance</w:t>
      </w:r>
      <w:r w:rsidR="00EE6021">
        <w:rPr>
          <w:rFonts w:eastAsia="Calibri"/>
        </w:rPr>
        <w:fldChar w:fldCharType="begin"/>
      </w:r>
      <w:r w:rsidR="00EE6021">
        <w:instrText xml:space="preserve"> XE "</w:instrText>
      </w:r>
      <w:r w:rsidR="00EC7B22" w:rsidRPr="0077646D">
        <w:rPr>
          <w:rFonts w:eastAsia="Calibri"/>
        </w:rPr>
        <w:instrText>Cotraitance</w:instrText>
      </w:r>
      <w:r w:rsidR="00EE6021">
        <w:instrText xml:space="preserve">" \i </w:instrText>
      </w:r>
      <w:r w:rsidR="00EE6021">
        <w:rPr>
          <w:rFonts w:eastAsia="Calibri"/>
        </w:rPr>
        <w:fldChar w:fldCharType="end"/>
      </w:r>
      <w:r w:rsidRPr="004A308E">
        <w:rPr>
          <w:rFonts w:eastAsia="Calibri"/>
        </w:rPr>
        <w:t xml:space="preserve"> », permet à des </w:t>
      </w:r>
      <w:r w:rsidRPr="004A308E">
        <w:t xml:space="preserve">entreprises </w:t>
      </w:r>
      <w:r w:rsidR="007B4AD5">
        <w:t xml:space="preserve">distinctes </w:t>
      </w:r>
      <w:r w:rsidRPr="004A308E">
        <w:t xml:space="preserve">de présenter une candidature de manière groupée. </w:t>
      </w:r>
      <w:r>
        <w:t>Le groupement sera alors « Opérateur </w:t>
      </w:r>
      <w:r w:rsidR="00760B14">
        <w:t xml:space="preserve">économique du CPE </w:t>
      </w:r>
      <w:r>
        <w:t>» et pourra être constitué d’entreprises spécialisées en matière d’ingénierie, de travaux, d’installations</w:t>
      </w:r>
      <w:r w:rsidR="007B4AD5">
        <w:t xml:space="preserve"> techniques</w:t>
      </w:r>
      <w:r>
        <w:t>, d’exploitation</w:t>
      </w:r>
      <w:r w:rsidR="00467E32">
        <w:t>-</w:t>
      </w:r>
      <w:r>
        <w:t xml:space="preserve"> maintenance</w:t>
      </w:r>
      <w:r w:rsidR="007B4AD5">
        <w:t>, de sensibilisation, etc</w:t>
      </w:r>
      <w:r w:rsidR="00EC7B22">
        <w:t>.</w:t>
      </w:r>
      <w:r w:rsidR="007B4AD5">
        <w:t xml:space="preserve"> tout en permettant au</w:t>
      </w:r>
      <w:r>
        <w:t xml:space="preserve"> Maître d’Ouvrage </w:t>
      </w:r>
      <w:r w:rsidR="007B4AD5">
        <w:t>d’avoir</w:t>
      </w:r>
      <w:r>
        <w:t xml:space="preserve"> face à lui un interlocuteur unique.</w:t>
      </w:r>
    </w:p>
    <w:p w14:paraId="2F1118C7" w14:textId="4EE481EE" w:rsidR="009B5EB2" w:rsidRDefault="009B5EB2" w:rsidP="00DB6915">
      <w:pPr>
        <w:spacing w:line="240" w:lineRule="auto"/>
        <w:jc w:val="both"/>
      </w:pPr>
      <w:r>
        <w:t xml:space="preserve">Cette possibilité de recourir à la </w:t>
      </w:r>
      <w:r w:rsidR="00EC7B22">
        <w:t>cotraitance</w:t>
      </w:r>
      <w:r>
        <w:t xml:space="preserve"> permet aux entreprises de s’organiser à plusieurs pour répondre à un marché auquel elles ne pourraient soumissionner seules. Ce type d’organisation s’inscrit dans </w:t>
      </w:r>
      <w:r w:rsidR="007C0051">
        <w:t>un cadre momentané</w:t>
      </w:r>
      <w:r w:rsidR="00270635">
        <w:t xml:space="preserve">, pour </w:t>
      </w:r>
      <w:r>
        <w:t xml:space="preserve">un marché </w:t>
      </w:r>
      <w:r w:rsidR="00270635">
        <w:t>et</w:t>
      </w:r>
      <w:r>
        <w:t xml:space="preserve"> une durée </w:t>
      </w:r>
      <w:r w:rsidR="00270635">
        <w:t>déterminés</w:t>
      </w:r>
      <w:r>
        <w:t xml:space="preserve">. Le </w:t>
      </w:r>
      <w:r w:rsidR="00EC7B22" w:rsidRPr="004A308E">
        <w:rPr>
          <w:rFonts w:eastAsia="Calibri"/>
        </w:rPr>
        <w:t>groupement</w:t>
      </w:r>
      <w:r w:rsidR="00EC7B22">
        <w:rPr>
          <w:rFonts w:eastAsia="Calibri"/>
        </w:rPr>
        <w:t xml:space="preserve"> d’opérateurs économiques</w:t>
      </w:r>
      <w:r>
        <w:t xml:space="preserve"> ne dispose d’aucune personnalité morale, chaque entreprise membre du groupement dispose de la qualité de cotraitant.</w:t>
      </w:r>
    </w:p>
    <w:p w14:paraId="2831AB84" w14:textId="2F595863" w:rsidR="009A644D" w:rsidRPr="0038539F" w:rsidRDefault="00EC7B22" w:rsidP="0038539F">
      <w:pPr>
        <w:pStyle w:val="Titre3"/>
      </w:pPr>
      <w:r w:rsidRPr="00AC6704">
        <w:fldChar w:fldCharType="begin"/>
      </w:r>
      <w:r w:rsidRPr="00EC7B22">
        <w:instrText xml:space="preserve"> AUTONUMLGL </w:instrText>
      </w:r>
      <w:bookmarkStart w:id="40" w:name="_Toc112749024"/>
      <w:r w:rsidRPr="00AC6704">
        <w:fldChar w:fldCharType="end"/>
      </w:r>
      <w:r w:rsidRPr="00EC7B22">
        <w:t xml:space="preserve"> </w:t>
      </w:r>
      <w:r w:rsidR="009A644D" w:rsidRPr="0038539F">
        <w:t>Forme du groupement</w:t>
      </w:r>
      <w:r w:rsidR="008F33F3" w:rsidRPr="00DB6915">
        <w:fldChar w:fldCharType="begin"/>
      </w:r>
      <w:r w:rsidR="008F33F3" w:rsidRPr="00EC7B22">
        <w:instrText xml:space="preserve"> XE "</w:instrText>
      </w:r>
      <w:proofErr w:type="spellStart"/>
      <w:r w:rsidR="008F33F3" w:rsidRPr="00EC7B22">
        <w:instrText>Titulaire:Groupement</w:instrText>
      </w:r>
      <w:proofErr w:type="spellEnd"/>
      <w:r w:rsidR="008F33F3" w:rsidRPr="00EC7B22">
        <w:instrText xml:space="preserve">" \i </w:instrText>
      </w:r>
      <w:r w:rsidR="008F33F3" w:rsidRPr="00DB6915">
        <w:fldChar w:fldCharType="end"/>
      </w:r>
      <w:r w:rsidR="0090470F" w:rsidRPr="0038539F">
        <w:t> :</w:t>
      </w:r>
      <w:bookmarkEnd w:id="40"/>
    </w:p>
    <w:p w14:paraId="3DF047E2" w14:textId="1554C37B" w:rsidR="009B5EB2" w:rsidRDefault="009B5EB2" w:rsidP="00DB6915">
      <w:pPr>
        <w:spacing w:line="240" w:lineRule="auto"/>
        <w:jc w:val="both"/>
      </w:pPr>
      <w:r>
        <w:t xml:space="preserve">Deux types de </w:t>
      </w:r>
      <w:r w:rsidR="00933700">
        <w:t xml:space="preserve">groupements </w:t>
      </w:r>
      <w:r>
        <w:t>existent et peuvent être mise en place dans le cadre d’un CPE </w:t>
      </w:r>
      <w:r w:rsidR="00CF3A0B">
        <w:rPr>
          <w:rFonts w:eastAsia="Times"/>
          <w:color w:val="000000" w:themeColor="text1"/>
        </w:rPr>
        <w:t>(Art. R.2142-19 du Code de la commande publique).</w:t>
      </w:r>
      <w:r>
        <w:t>:</w:t>
      </w:r>
    </w:p>
    <w:p w14:paraId="46028EC7" w14:textId="52B882D8" w:rsidR="009B5EB2" w:rsidRPr="00643F58" w:rsidRDefault="009B5EB2" w:rsidP="00DB6915">
      <w:pPr>
        <w:pStyle w:val="Paragraphedeliste"/>
        <w:numPr>
          <w:ilvl w:val="0"/>
          <w:numId w:val="13"/>
        </w:numPr>
        <w:spacing w:line="240" w:lineRule="auto"/>
        <w:contextualSpacing w:val="0"/>
        <w:jc w:val="both"/>
        <w:rPr>
          <w:rFonts w:eastAsia="Calibri"/>
        </w:rPr>
      </w:pPr>
      <w:r>
        <w:t xml:space="preserve">Le groupement </w:t>
      </w:r>
      <w:r w:rsidR="00D56282">
        <w:t>d’opé</w:t>
      </w:r>
      <w:r w:rsidR="00933700">
        <w:t>rateurs économiques</w:t>
      </w:r>
      <w:r>
        <w:t xml:space="preserve"> </w:t>
      </w:r>
      <w:r w:rsidR="0013678E">
        <w:t>« </w:t>
      </w:r>
      <w:r>
        <w:t>conjoint</w:t>
      </w:r>
      <w:r w:rsidR="0013678E">
        <w:t> »</w:t>
      </w:r>
      <w:r>
        <w:t xml:space="preserve">, avec mandataire commun. Chaque opérateur est alors engagé sur les prestations </w:t>
      </w:r>
      <w:r w:rsidR="00FC0DC8">
        <w:t>qui lui sont attribuées au titre du Marché</w:t>
      </w:r>
      <w:r>
        <w:t xml:space="preserve">. </w:t>
      </w:r>
      <w:r w:rsidR="00643F58" w:rsidRPr="00643F58">
        <w:rPr>
          <w:rFonts w:eastAsia="Calibri"/>
        </w:rPr>
        <w:t xml:space="preserve">Si le </w:t>
      </w:r>
      <w:r w:rsidR="00643F58">
        <w:rPr>
          <w:rFonts w:eastAsia="Calibri"/>
        </w:rPr>
        <w:t>M</w:t>
      </w:r>
      <w:r w:rsidR="00643F58" w:rsidRPr="00643F58">
        <w:rPr>
          <w:rFonts w:eastAsia="Calibri"/>
        </w:rPr>
        <w:t xml:space="preserve">arché le prévoit, le mandataire du groupement conjoint est solidaire, pour l'exécution du </w:t>
      </w:r>
      <w:r w:rsidR="00643F58">
        <w:rPr>
          <w:rFonts w:eastAsia="Calibri"/>
        </w:rPr>
        <w:t>Ma</w:t>
      </w:r>
      <w:r w:rsidR="00643F58" w:rsidRPr="00643F58">
        <w:rPr>
          <w:rFonts w:eastAsia="Calibri"/>
        </w:rPr>
        <w:t xml:space="preserve">rché, de chacun des membres du groupement pour ses obligations contractuelles à l'égard </w:t>
      </w:r>
      <w:r w:rsidR="00643F58">
        <w:rPr>
          <w:rFonts w:eastAsia="Calibri"/>
        </w:rPr>
        <w:t>du Maître d’Ouvrage</w:t>
      </w:r>
      <w:r w:rsidR="00643F58" w:rsidRPr="00643F58">
        <w:rPr>
          <w:rFonts w:eastAsia="Calibri"/>
        </w:rPr>
        <w:t>.</w:t>
      </w:r>
    </w:p>
    <w:p w14:paraId="6080C54F" w14:textId="3394D1FA" w:rsidR="00014A90" w:rsidRPr="00014A90" w:rsidRDefault="009B5EB2" w:rsidP="00DB6915">
      <w:pPr>
        <w:pStyle w:val="Paragraphedeliste"/>
        <w:numPr>
          <w:ilvl w:val="0"/>
          <w:numId w:val="13"/>
        </w:numPr>
        <w:spacing w:line="240" w:lineRule="auto"/>
        <w:contextualSpacing w:val="0"/>
        <w:jc w:val="both"/>
      </w:pPr>
      <w:r>
        <w:t xml:space="preserve">Le groupement </w:t>
      </w:r>
      <w:r w:rsidR="00933700">
        <w:t xml:space="preserve">d’opérateurs économiques </w:t>
      </w:r>
      <w:r w:rsidR="0013678E">
        <w:t>« </w:t>
      </w:r>
      <w:r>
        <w:t>solidaire</w:t>
      </w:r>
      <w:r w:rsidR="0013678E">
        <w:t> »</w:t>
      </w:r>
      <w:r>
        <w:t xml:space="preserve">, avec mandataire commun. Dans ce cas, chaque entreprise est </w:t>
      </w:r>
      <w:r w:rsidR="00FC0DC8">
        <w:t>financièrement</w:t>
      </w:r>
      <w:r>
        <w:t xml:space="preserve"> engagée </w:t>
      </w:r>
      <w:r w:rsidR="00FC0DC8">
        <w:t>pour la totalité du Marché</w:t>
      </w:r>
      <w:r>
        <w:t>.</w:t>
      </w:r>
    </w:p>
    <w:p w14:paraId="0C898A1C" w14:textId="3D33BEF4" w:rsidR="00933700" w:rsidRPr="00933700" w:rsidRDefault="007C0051" w:rsidP="00DB6915">
      <w:pPr>
        <w:spacing w:line="240" w:lineRule="auto"/>
        <w:jc w:val="both"/>
        <w:rPr>
          <w:rFonts w:eastAsia="Calibri"/>
        </w:rPr>
      </w:pPr>
      <w:r>
        <w:rPr>
          <w:rFonts w:eastAsia="Calibri"/>
        </w:rPr>
        <w:t>En toute hypothèse,</w:t>
      </w:r>
      <w:r w:rsidR="00933700" w:rsidRPr="00933700">
        <w:rPr>
          <w:rFonts w:eastAsia="Calibri"/>
        </w:rPr>
        <w:t xml:space="preserve"> le groupement communique auprès du Maître d’ouvrage via un mandataire désigné, représentant du groupement. Il est expressément désigné par le groupement dans la déclaration de candidature (généralement le </w:t>
      </w:r>
      <w:r>
        <w:rPr>
          <w:rFonts w:eastAsia="Calibri"/>
        </w:rPr>
        <w:t xml:space="preserve">formulaire </w:t>
      </w:r>
      <w:r w:rsidR="00933700" w:rsidRPr="00933700">
        <w:rPr>
          <w:rFonts w:eastAsia="Calibri"/>
        </w:rPr>
        <w:t xml:space="preserve">DC1). </w:t>
      </w:r>
      <w:r w:rsidR="00933700" w:rsidRPr="00D844A8">
        <w:rPr>
          <w:rFonts w:eastAsia="Calibri"/>
        </w:rPr>
        <w:t xml:space="preserve">Il détient </w:t>
      </w:r>
      <w:proofErr w:type="gramStart"/>
      <w:r w:rsidR="008A6B74" w:rsidRPr="002616D5">
        <w:rPr>
          <w:rFonts w:eastAsia="Calibri"/>
        </w:rPr>
        <w:t>a</w:t>
      </w:r>
      <w:proofErr w:type="gramEnd"/>
      <w:r w:rsidR="008A6B74" w:rsidRPr="002616D5">
        <w:rPr>
          <w:rFonts w:eastAsia="Calibri"/>
        </w:rPr>
        <w:t xml:space="preserve"> minima </w:t>
      </w:r>
      <w:r w:rsidR="00933700" w:rsidRPr="00D844A8">
        <w:rPr>
          <w:rFonts w:eastAsia="Calibri"/>
        </w:rPr>
        <w:t>un rôle de coordination des prestations et s’assure de la bonne exécution du marché auquel le groupement a répondu.</w:t>
      </w:r>
      <w:r w:rsidR="00933700" w:rsidRPr="00933700">
        <w:rPr>
          <w:rFonts w:eastAsia="Calibri"/>
        </w:rPr>
        <w:t xml:space="preserve"> </w:t>
      </w:r>
    </w:p>
    <w:p w14:paraId="774F2009" w14:textId="6114AF34" w:rsidR="00933700" w:rsidRDefault="00754350" w:rsidP="00DB6915">
      <w:pPr>
        <w:spacing w:line="240" w:lineRule="auto"/>
        <w:jc w:val="both"/>
        <w:rPr>
          <w:rFonts w:eastAsia="Times"/>
          <w:color w:val="000000" w:themeColor="text1"/>
        </w:rPr>
      </w:pPr>
      <w:r w:rsidRPr="00D92E49">
        <w:rPr>
          <w:rFonts w:eastAsia="Times"/>
          <w:color w:val="000000" w:themeColor="text1"/>
        </w:rPr>
        <w:t>La forme du groupement peut être imposée après attribution par le Maître d’Ouvrage si cette transformation est nécessaire à la bonne exécution du Marché</w:t>
      </w:r>
      <w:r w:rsidR="004B4282">
        <w:rPr>
          <w:rFonts w:eastAsia="Times"/>
          <w:color w:val="000000" w:themeColor="text1"/>
        </w:rPr>
        <w:t xml:space="preserve"> (Art. R.2142-22 du </w:t>
      </w:r>
      <w:r w:rsidR="00894235">
        <w:rPr>
          <w:rFonts w:eastAsia="Times"/>
          <w:color w:val="000000" w:themeColor="text1"/>
        </w:rPr>
        <w:t>C</w:t>
      </w:r>
      <w:r w:rsidR="004B4282">
        <w:rPr>
          <w:rFonts w:eastAsia="Times"/>
          <w:color w:val="000000" w:themeColor="text1"/>
        </w:rPr>
        <w:t>ode de la commande publique)</w:t>
      </w:r>
      <w:r w:rsidR="00933700">
        <w:rPr>
          <w:rFonts w:eastAsia="Times"/>
          <w:color w:val="000000" w:themeColor="text1"/>
        </w:rPr>
        <w:t xml:space="preserve">. </w:t>
      </w:r>
    </w:p>
    <w:p w14:paraId="13BCFCD6" w14:textId="3C508019" w:rsidR="00754350" w:rsidRPr="00D92E49" w:rsidRDefault="00933700" w:rsidP="00DB6915">
      <w:pPr>
        <w:spacing w:line="240" w:lineRule="auto"/>
        <w:jc w:val="both"/>
        <w:rPr>
          <w:rFonts w:eastAsia="Times"/>
          <w:color w:val="000000" w:themeColor="text1"/>
        </w:rPr>
      </w:pPr>
      <w:r>
        <w:rPr>
          <w:rFonts w:eastAsia="Times"/>
          <w:color w:val="000000" w:themeColor="text1"/>
        </w:rPr>
        <w:t xml:space="preserve">Dans le cadre d’un CPE : </w:t>
      </w:r>
    </w:p>
    <w:p w14:paraId="543C4D52" w14:textId="4D8436CA" w:rsidR="00754350" w:rsidRPr="00D92E49" w:rsidRDefault="00754350" w:rsidP="00DB6915">
      <w:pPr>
        <w:pStyle w:val="Paragraphedeliste"/>
        <w:numPr>
          <w:ilvl w:val="0"/>
          <w:numId w:val="15"/>
        </w:numPr>
        <w:spacing w:after="120" w:line="240" w:lineRule="auto"/>
        <w:contextualSpacing w:val="0"/>
        <w:jc w:val="both"/>
        <w:rPr>
          <w:rFonts w:ascii="Calibri" w:eastAsia="Calibri" w:hAnsi="Calibri" w:cs="Calibri"/>
          <w:color w:val="000000" w:themeColor="text1"/>
        </w:rPr>
      </w:pPr>
      <w:r w:rsidRPr="00D92E49">
        <w:rPr>
          <w:rFonts w:ascii="Calibri" w:eastAsia="Calibri" w:hAnsi="Calibri" w:cs="Calibri"/>
          <w:color w:val="000000" w:themeColor="text1"/>
        </w:rPr>
        <w:t xml:space="preserve">Il est recommandé de prévoir </w:t>
      </w:r>
      <w:proofErr w:type="gramStart"/>
      <w:r w:rsidRPr="00D92E49">
        <w:rPr>
          <w:rFonts w:ascii="Calibri" w:eastAsia="Calibri" w:hAnsi="Calibri" w:cs="Calibri"/>
          <w:i/>
          <w:color w:val="000000" w:themeColor="text1"/>
        </w:rPr>
        <w:t>a</w:t>
      </w:r>
      <w:proofErr w:type="gramEnd"/>
      <w:r w:rsidRPr="00D92E49">
        <w:rPr>
          <w:rFonts w:ascii="Calibri" w:eastAsia="Calibri" w:hAnsi="Calibri" w:cs="Calibri"/>
          <w:i/>
          <w:color w:val="000000" w:themeColor="text1"/>
        </w:rPr>
        <w:t xml:space="preserve"> minima</w:t>
      </w:r>
      <w:r w:rsidRPr="00D92E49">
        <w:rPr>
          <w:rFonts w:ascii="Calibri" w:eastAsia="Calibri" w:hAnsi="Calibri" w:cs="Calibri"/>
          <w:color w:val="000000" w:themeColor="text1"/>
        </w:rPr>
        <w:t xml:space="preserve"> un groupement conjoint avec </w:t>
      </w:r>
      <w:r w:rsidR="0013678E">
        <w:rPr>
          <w:rFonts w:ascii="Calibri" w:eastAsia="Calibri" w:hAnsi="Calibri" w:cs="Calibri"/>
          <w:color w:val="000000" w:themeColor="text1"/>
        </w:rPr>
        <w:t>m</w:t>
      </w:r>
      <w:r w:rsidRPr="00D92E49">
        <w:rPr>
          <w:rFonts w:ascii="Calibri" w:eastAsia="Calibri" w:hAnsi="Calibri" w:cs="Calibri"/>
          <w:color w:val="000000" w:themeColor="text1"/>
        </w:rPr>
        <w:t>andataire solidaire. Le Mandataire est alors solidaire, pour l’exécution du Marché, de chacun des membres du groupement pour ses obligations contractuelles à l’égard du Maître d’Ouvrage.</w:t>
      </w:r>
    </w:p>
    <w:p w14:paraId="5AF8CF5E" w14:textId="5D52D18C" w:rsidR="00754350" w:rsidRPr="00933700" w:rsidRDefault="00754350" w:rsidP="00DB6915">
      <w:pPr>
        <w:pStyle w:val="Paragraphedeliste"/>
        <w:numPr>
          <w:ilvl w:val="0"/>
          <w:numId w:val="15"/>
        </w:numPr>
        <w:spacing w:after="120" w:line="240" w:lineRule="auto"/>
        <w:contextualSpacing w:val="0"/>
        <w:jc w:val="both"/>
        <w:rPr>
          <w:rFonts w:ascii="Calibri" w:eastAsia="Calibri" w:hAnsi="Calibri" w:cs="Calibri"/>
          <w:color w:val="000000" w:themeColor="text1"/>
        </w:rPr>
      </w:pPr>
      <w:r w:rsidRPr="00D92E49">
        <w:rPr>
          <w:rFonts w:ascii="Calibri" w:eastAsia="Calibri" w:hAnsi="Calibri" w:cs="Calibri"/>
          <w:color w:val="000000" w:themeColor="text1"/>
        </w:rPr>
        <w:t>La forme du groupement solidaire est également envisageable, pour autant qu’elle ne heurte pas les règles déontologiques de certains membres du groupement relevant de professions réglementées, tels que les architectes. Enfin, la nature solidaire du groupement peut constituer un obstacle à la participation des petites et moyennes entreprises.</w:t>
      </w:r>
    </w:p>
    <w:p w14:paraId="704407F6" w14:textId="2C7C9824" w:rsidR="00933700" w:rsidRPr="00933700" w:rsidRDefault="00933700" w:rsidP="00DB6915">
      <w:pPr>
        <w:spacing w:line="240" w:lineRule="auto"/>
        <w:jc w:val="both"/>
        <w:rPr>
          <w:rFonts w:eastAsia="Times"/>
          <w:color w:val="000000" w:themeColor="text1"/>
        </w:rPr>
      </w:pPr>
      <w:r w:rsidRPr="00933700">
        <w:rPr>
          <w:rFonts w:eastAsia="Times"/>
          <w:color w:val="000000" w:themeColor="text1"/>
        </w:rPr>
        <w:lastRenderedPageBreak/>
        <w:t xml:space="preserve">En effet, il n’est pas souhaitable pour le Maître d’Ouvrage de </w:t>
      </w:r>
      <w:r w:rsidR="00046A25">
        <w:rPr>
          <w:rFonts w:eastAsia="Times"/>
          <w:color w:val="000000" w:themeColor="text1"/>
        </w:rPr>
        <w:t>devoir</w:t>
      </w:r>
      <w:r w:rsidRPr="00933700">
        <w:rPr>
          <w:rFonts w:eastAsia="Times"/>
          <w:color w:val="000000" w:themeColor="text1"/>
        </w:rPr>
        <w:t xml:space="preserve"> attribuer lui-même la non-atteinte des Objectifs de Performance à l’un ou l’autre des membres du groupement. Cette situation est source de </w:t>
      </w:r>
      <w:r w:rsidR="00046A25">
        <w:rPr>
          <w:rFonts w:eastAsia="Times"/>
          <w:color w:val="000000" w:themeColor="text1"/>
        </w:rPr>
        <w:t>différends</w:t>
      </w:r>
      <w:r w:rsidRPr="00933700">
        <w:rPr>
          <w:rFonts w:eastAsia="Times"/>
          <w:color w:val="000000" w:themeColor="text1"/>
        </w:rPr>
        <w:t xml:space="preserve"> faisant obstacle au demeurant à la diffusion des bonnes pratiques en matière de marché public global de performance. La solidarité du Mandataire, voire des membres du groupement sera un réel gage de réalisation des Objectifs de Performance.</w:t>
      </w:r>
    </w:p>
    <w:p w14:paraId="5CFAA1A3" w14:textId="053160E6" w:rsidR="00922D7A" w:rsidRPr="00D92E49" w:rsidRDefault="00D13166" w:rsidP="0038539F">
      <w:pPr>
        <w:pStyle w:val="Titre3"/>
      </w:pPr>
      <w:r w:rsidRPr="00AC6704">
        <w:fldChar w:fldCharType="begin"/>
      </w:r>
      <w:r w:rsidRPr="00D13166">
        <w:instrText xml:space="preserve"> AUTONUMLGL </w:instrText>
      </w:r>
      <w:bookmarkStart w:id="41" w:name="_Toc112749025"/>
      <w:r w:rsidRPr="00AC6704">
        <w:fldChar w:fldCharType="end"/>
      </w:r>
      <w:r w:rsidRPr="00D13166">
        <w:t xml:space="preserve"> </w:t>
      </w:r>
      <w:r w:rsidR="00922D7A" w:rsidRPr="00D92E49">
        <w:t>Capacités du Mandataire</w:t>
      </w:r>
      <w:bookmarkEnd w:id="41"/>
      <w:r w:rsidR="00D234A4" w:rsidRPr="00DB6915">
        <w:fldChar w:fldCharType="begin"/>
      </w:r>
      <w:r w:rsidR="00D234A4" w:rsidRPr="00D13166">
        <w:instrText xml:space="preserve"> XE "</w:instrText>
      </w:r>
      <w:proofErr w:type="spellStart"/>
      <w:r w:rsidR="00D234A4" w:rsidRPr="00D13166">
        <w:instrText>Groupement:Mandataire</w:instrText>
      </w:r>
      <w:proofErr w:type="spellEnd"/>
      <w:r w:rsidR="00D234A4" w:rsidRPr="00D13166">
        <w:instrText xml:space="preserve">" \i </w:instrText>
      </w:r>
      <w:r w:rsidR="00D234A4" w:rsidRPr="00DB6915">
        <w:fldChar w:fldCharType="end"/>
      </w:r>
    </w:p>
    <w:p w14:paraId="68C62701" w14:textId="14D3394B" w:rsidR="009A644D" w:rsidRDefault="00922D7A" w:rsidP="00DB6915">
      <w:pPr>
        <w:spacing w:line="240" w:lineRule="auto"/>
        <w:jc w:val="both"/>
        <w:rPr>
          <w:rFonts w:eastAsia="Times"/>
          <w:color w:val="000000" w:themeColor="text1"/>
        </w:rPr>
      </w:pPr>
      <w:r w:rsidRPr="00D92E49">
        <w:rPr>
          <w:rFonts w:eastAsia="Times"/>
          <w:color w:val="000000" w:themeColor="text1"/>
        </w:rPr>
        <w:t>En principe, l’appréciation des capacités professionnelles, techniques et financières d’un groupement est globale et le Maître d’Ouvrage cumule les capacités de l’ensemble des membres du groupement dans leur analyse des candidatures (Art.</w:t>
      </w:r>
      <w:r w:rsidR="009A644D">
        <w:rPr>
          <w:rFonts w:eastAsia="Times"/>
          <w:color w:val="000000" w:themeColor="text1"/>
        </w:rPr>
        <w:t xml:space="preserve"> </w:t>
      </w:r>
      <w:r w:rsidRPr="00D92E49">
        <w:rPr>
          <w:rFonts w:eastAsia="Times"/>
          <w:color w:val="000000" w:themeColor="text1"/>
        </w:rPr>
        <w:t xml:space="preserve">R.2142-25 du Code de la commande publique). </w:t>
      </w:r>
    </w:p>
    <w:p w14:paraId="1617E181" w14:textId="725CAF83" w:rsidR="00922D7A" w:rsidRPr="00D92E49" w:rsidRDefault="00922D7A" w:rsidP="00DB6915">
      <w:pPr>
        <w:spacing w:line="240" w:lineRule="auto"/>
        <w:jc w:val="both"/>
        <w:rPr>
          <w:rFonts w:eastAsia="Times"/>
          <w:color w:val="000000" w:themeColor="text1"/>
        </w:rPr>
      </w:pPr>
      <w:r w:rsidRPr="00D92E49">
        <w:rPr>
          <w:rFonts w:eastAsia="Times"/>
          <w:color w:val="000000" w:themeColor="text1"/>
        </w:rPr>
        <w:t xml:space="preserve">Le Conseil d’État (CE 24 juin 2011, </w:t>
      </w:r>
      <w:r w:rsidRPr="00D92E49">
        <w:rPr>
          <w:rFonts w:eastAsia="Times"/>
          <w:i/>
          <w:color w:val="000000" w:themeColor="text1"/>
        </w:rPr>
        <w:t>Commune de Roue</w:t>
      </w:r>
      <w:r w:rsidRPr="00D92E49">
        <w:rPr>
          <w:rFonts w:eastAsia="Times"/>
          <w:color w:val="000000" w:themeColor="text1"/>
        </w:rPr>
        <w:t>, n° 347840) a cependant précisé qu’un Maître d’Ouvrage peut exiger que le Mandataire du groupement, compte tenu de ses responsabilités propres, dispose de garanties notamment financières suffisantes, sans rechercher si l’absence de telles garanties peut être compensée par celles offertes par les autres membres du groupement. Cette exigence devra figurer dans l’avis de publicité.</w:t>
      </w:r>
    </w:p>
    <w:p w14:paraId="2D32CBEF" w14:textId="744F451F" w:rsidR="00922D7A" w:rsidRPr="00D92E49" w:rsidRDefault="00D13166" w:rsidP="0038539F">
      <w:pPr>
        <w:pStyle w:val="Titre3"/>
      </w:pPr>
      <w:r w:rsidRPr="00AC6704">
        <w:fldChar w:fldCharType="begin"/>
      </w:r>
      <w:r w:rsidRPr="00D13166">
        <w:instrText xml:space="preserve"> AUTONUMLGL </w:instrText>
      </w:r>
      <w:bookmarkStart w:id="42" w:name="_Toc112749026"/>
      <w:r w:rsidRPr="00AC6704">
        <w:fldChar w:fldCharType="end"/>
      </w:r>
      <w:r w:rsidRPr="00D13166">
        <w:t xml:space="preserve"> </w:t>
      </w:r>
      <w:r w:rsidR="00922D7A" w:rsidRPr="00D92E49">
        <w:t>Changement de Mandataire</w:t>
      </w:r>
      <w:bookmarkEnd w:id="42"/>
    </w:p>
    <w:p w14:paraId="10C660E6" w14:textId="54E4648A" w:rsidR="00922D7A" w:rsidRPr="00D92E49" w:rsidRDefault="00922D7A" w:rsidP="00DB6915">
      <w:pPr>
        <w:spacing w:line="240" w:lineRule="auto"/>
        <w:jc w:val="both"/>
        <w:rPr>
          <w:rFonts w:eastAsia="Times"/>
          <w:color w:val="000000" w:themeColor="text1"/>
        </w:rPr>
      </w:pPr>
      <w:r w:rsidRPr="00D92E49">
        <w:rPr>
          <w:rFonts w:eastAsia="Times"/>
          <w:color w:val="000000" w:themeColor="text1"/>
        </w:rPr>
        <w:t xml:space="preserve">En cas de groupement conjoint avec Mandataire solidaire, les candidats </w:t>
      </w:r>
      <w:r w:rsidR="00F4356D">
        <w:rPr>
          <w:rFonts w:eastAsia="Times"/>
          <w:color w:val="000000" w:themeColor="text1"/>
        </w:rPr>
        <w:t>sollicitent</w:t>
      </w:r>
      <w:r w:rsidRPr="00D92E49">
        <w:rPr>
          <w:rFonts w:eastAsia="Times"/>
          <w:color w:val="000000" w:themeColor="text1"/>
        </w:rPr>
        <w:t xml:space="preserve"> souvent la possibilité d’un changement de Mandataire en cours d’exécution du Marché, </w:t>
      </w:r>
      <w:r w:rsidR="00F4356D">
        <w:rPr>
          <w:rFonts w:eastAsia="Times"/>
          <w:color w:val="000000" w:themeColor="text1"/>
        </w:rPr>
        <w:t xml:space="preserve">par exemple </w:t>
      </w:r>
      <w:r w:rsidRPr="00D92E49">
        <w:rPr>
          <w:rFonts w:eastAsia="Times"/>
          <w:color w:val="000000" w:themeColor="text1"/>
        </w:rPr>
        <w:t>depuis l’entreprise de travaux vers l’exploitant, sans pour autant que la composition et l’identité des membres dudit groupement ne soient modifiées. Cette possibilité est généralement demandée à l’expiration du délai de parfait achèvement.</w:t>
      </w:r>
    </w:p>
    <w:p w14:paraId="25801F90" w14:textId="663AB5B2" w:rsidR="00922D7A" w:rsidRDefault="00922D7A" w:rsidP="00DB6915">
      <w:pPr>
        <w:spacing w:line="240" w:lineRule="auto"/>
        <w:jc w:val="both"/>
        <w:rPr>
          <w:rFonts w:eastAsia="Times"/>
          <w:color w:val="000000" w:themeColor="text1"/>
        </w:rPr>
      </w:pPr>
      <w:r w:rsidRPr="00D92E49">
        <w:rPr>
          <w:rFonts w:eastAsia="Times"/>
          <w:color w:val="000000" w:themeColor="text1"/>
        </w:rPr>
        <w:t>Pour autant, un tel changement, compréhensible dans ses motifs, ne doit pas priver le Maître d’Ouvrage des garanties que lui offre la solidarité du Mandataire du groupement conjoint. Il sera nécessaire de prévoir, dans la clause relative au changement de Mandataire, l’agrément préalable par le Maître d’Ouvrage. Celui-ci pourra refuser la réorganisation du groupement Titulaire pour les motifs précisés au CCAP</w:t>
      </w:r>
      <w:r w:rsidR="00157359">
        <w:rPr>
          <w:rFonts w:eastAsia="Times"/>
          <w:color w:val="000000" w:themeColor="text1"/>
        </w:rPr>
        <w:t xml:space="preserve"> </w:t>
      </w:r>
      <w:r w:rsidRPr="00D92E49">
        <w:rPr>
          <w:rFonts w:eastAsia="Times"/>
          <w:color w:val="000000" w:themeColor="text1"/>
        </w:rPr>
        <w:t xml:space="preserve">et en particulier l’insuffisance des garanties notamment financières présentées par le nouveau Mandataire au regard de l’engagement de solidarité qu’il prend à son égard. Le changement de </w:t>
      </w:r>
      <w:r>
        <w:rPr>
          <w:rFonts w:eastAsia="Times"/>
          <w:color w:val="000000" w:themeColor="text1"/>
        </w:rPr>
        <w:t>M</w:t>
      </w:r>
      <w:r w:rsidRPr="00D92E49">
        <w:rPr>
          <w:rFonts w:eastAsia="Times"/>
          <w:color w:val="000000" w:themeColor="text1"/>
        </w:rPr>
        <w:t>andataire peut également être subordonné à l’atteinte des Objectifs de Performance pendant une ou plusieurs Périodes de Suivi.</w:t>
      </w:r>
    </w:p>
    <w:p w14:paraId="3F47A025" w14:textId="39192D07" w:rsidR="00922D7A" w:rsidRPr="0038539F" w:rsidRDefault="0038539F" w:rsidP="00DB6915">
      <w:pPr>
        <w:pStyle w:val="Titre2"/>
        <w:spacing w:line="240" w:lineRule="auto"/>
      </w:pPr>
      <w:r w:rsidRPr="0038539F">
        <w:fldChar w:fldCharType="begin"/>
      </w:r>
      <w:r w:rsidRPr="0038539F">
        <w:instrText xml:space="preserve"> AUTONUMLGL </w:instrText>
      </w:r>
      <w:bookmarkStart w:id="43" w:name="_Toc112749027"/>
      <w:r w:rsidRPr="0038539F">
        <w:fldChar w:fldCharType="end"/>
      </w:r>
      <w:r w:rsidR="00751F50">
        <w:t xml:space="preserve">La </w:t>
      </w:r>
      <w:r w:rsidR="00922D7A" w:rsidRPr="0038539F">
        <w:t>Sous-traitance</w:t>
      </w:r>
      <w:bookmarkEnd w:id="43"/>
      <w:r w:rsidR="00D234A4">
        <w:fldChar w:fldCharType="begin"/>
      </w:r>
      <w:r w:rsidR="00D234A4">
        <w:instrText xml:space="preserve"> XE "</w:instrText>
      </w:r>
      <w:r w:rsidR="00D234A4" w:rsidRPr="00B37F7B">
        <w:instrText>Sous-traitance</w:instrText>
      </w:r>
      <w:r w:rsidR="00D234A4">
        <w:instrText xml:space="preserve">" \i </w:instrText>
      </w:r>
      <w:r w:rsidR="00D234A4">
        <w:fldChar w:fldCharType="end"/>
      </w:r>
    </w:p>
    <w:p w14:paraId="39D77433" w14:textId="77777777" w:rsidR="00922D7A" w:rsidRPr="00D92E49" w:rsidRDefault="00922D7A" w:rsidP="00DB6915">
      <w:pPr>
        <w:pStyle w:val="Paragraphedeliste"/>
        <w:shd w:val="clear" w:color="auto" w:fill="FFFFFF" w:themeFill="background1"/>
        <w:spacing w:line="240" w:lineRule="auto"/>
        <w:ind w:left="0"/>
        <w:contextualSpacing w:val="0"/>
        <w:jc w:val="both"/>
        <w:rPr>
          <w:rFonts w:cstheme="minorHAnsi"/>
          <w:color w:val="000000" w:themeColor="text1"/>
        </w:rPr>
      </w:pPr>
      <w:r w:rsidRPr="00D92E49">
        <w:rPr>
          <w:rFonts w:cstheme="minorHAnsi"/>
          <w:color w:val="000000" w:themeColor="text1"/>
        </w:rPr>
        <w:t>Les textes en vigueur admettent que la sous-traitance constitue un mode normal d’exécution des marchés publics – y compris des marchés publics globaux de performance, associant sur une longue durée des opérateurs économiques chargés de prestations diverses – sous réserve que le Titulaire observe les obligations mises à sa charge par les textes en vigueur, dont la principale consiste à faire accepter ses Sous-Traitants par le Maître d’Ouvrage, ainsi que leurs conditions de paiement.</w:t>
      </w:r>
    </w:p>
    <w:p w14:paraId="50F7F89F" w14:textId="4BE95C81" w:rsidR="009B5EB2" w:rsidRPr="0090470F" w:rsidRDefault="00922D7A" w:rsidP="00DB6915">
      <w:pPr>
        <w:pStyle w:val="Paragraphedeliste"/>
        <w:shd w:val="clear" w:color="auto" w:fill="FFFFFF" w:themeFill="background1"/>
        <w:spacing w:line="240" w:lineRule="auto"/>
        <w:ind w:left="0"/>
        <w:contextualSpacing w:val="0"/>
        <w:jc w:val="both"/>
        <w:rPr>
          <w:rFonts w:cstheme="minorHAnsi"/>
          <w:color w:val="000000" w:themeColor="text1"/>
        </w:rPr>
      </w:pPr>
      <w:r w:rsidRPr="00D92E49">
        <w:rPr>
          <w:rFonts w:cstheme="minorHAnsi"/>
          <w:color w:val="000000" w:themeColor="text1"/>
        </w:rPr>
        <w:t xml:space="preserve">Il est précisé qu’il n’est pas possible au </w:t>
      </w:r>
      <w:r w:rsidR="00186ECF">
        <w:rPr>
          <w:rFonts w:cstheme="minorHAnsi"/>
          <w:color w:val="000000" w:themeColor="text1"/>
        </w:rPr>
        <w:t>t</w:t>
      </w:r>
      <w:r w:rsidRPr="00D92E49">
        <w:rPr>
          <w:rFonts w:cstheme="minorHAnsi"/>
          <w:color w:val="000000" w:themeColor="text1"/>
        </w:rPr>
        <w:t>itulaire d’un marché public de sous-traiter en totalité l’exécution de son marché, alors que la sous-traitance des marchés privés peut en principe être totale.</w:t>
      </w:r>
    </w:p>
    <w:p w14:paraId="21239A52" w14:textId="77777777" w:rsidR="00A73280" w:rsidRDefault="00A73280">
      <w:pPr>
        <w:rPr>
          <w:b/>
          <w:bCs/>
          <w:sz w:val="36"/>
          <w:szCs w:val="36"/>
        </w:rPr>
      </w:pPr>
      <w:r>
        <w:br w:type="page"/>
      </w:r>
    </w:p>
    <w:p w14:paraId="19CB4A22" w14:textId="1A1B3742" w:rsidR="009B5EB2" w:rsidRPr="00CB50DF" w:rsidRDefault="00CB50DF" w:rsidP="00DB6915">
      <w:pPr>
        <w:pStyle w:val="Titre1"/>
        <w:spacing w:line="240" w:lineRule="auto"/>
      </w:pPr>
      <w:r w:rsidRPr="008B571E">
        <w:lastRenderedPageBreak/>
        <w:fldChar w:fldCharType="begin"/>
      </w:r>
      <w:r w:rsidRPr="008B571E">
        <w:instrText xml:space="preserve"> AUTONUMLGL </w:instrText>
      </w:r>
      <w:bookmarkStart w:id="44" w:name="_Toc112749028"/>
      <w:r w:rsidRPr="008B571E">
        <w:fldChar w:fldCharType="end"/>
      </w:r>
      <w:r w:rsidRPr="008B571E">
        <w:t xml:space="preserve"> </w:t>
      </w:r>
      <w:r w:rsidR="009B5EB2" w:rsidRPr="00CB50DF">
        <w:t>Schéma fonctionnel de mise en œuvre d’un projet de CPE</w:t>
      </w:r>
      <w:bookmarkEnd w:id="44"/>
    </w:p>
    <w:p w14:paraId="389EDD28" w14:textId="75293573" w:rsidR="00064B1F" w:rsidRDefault="009B5EB2" w:rsidP="00DB6915">
      <w:pPr>
        <w:spacing w:line="240" w:lineRule="auto"/>
        <w:jc w:val="both"/>
        <w:rPr>
          <w:rFonts w:eastAsia="Calibri"/>
        </w:rPr>
      </w:pPr>
      <w:r w:rsidRPr="00A42408">
        <w:rPr>
          <w:rFonts w:eastAsia="Calibri"/>
        </w:rPr>
        <w:t>L</w:t>
      </w:r>
      <w:r w:rsidR="00064B1F">
        <w:rPr>
          <w:rFonts w:eastAsia="Calibri"/>
        </w:rPr>
        <w:t>a préparation et la mise en œuvr</w:t>
      </w:r>
      <w:r w:rsidR="00064B1F" w:rsidRPr="00A42408">
        <w:rPr>
          <w:rFonts w:eastAsia="Calibri"/>
        </w:rPr>
        <w:t>e</w:t>
      </w:r>
      <w:r w:rsidRPr="00A42408">
        <w:rPr>
          <w:rFonts w:eastAsia="Calibri"/>
        </w:rPr>
        <w:t xml:space="preserve"> </w:t>
      </w:r>
      <w:r w:rsidR="00064B1F">
        <w:rPr>
          <w:rFonts w:eastAsia="Calibri"/>
        </w:rPr>
        <w:t xml:space="preserve">d’un </w:t>
      </w:r>
      <w:r w:rsidRPr="00A42408">
        <w:rPr>
          <w:rFonts w:eastAsia="Calibri"/>
        </w:rPr>
        <w:t xml:space="preserve">CPE </w:t>
      </w:r>
      <w:r>
        <w:rPr>
          <w:rFonts w:eastAsia="Calibri"/>
        </w:rPr>
        <w:t>peut se décompose en 4 phases :</w:t>
      </w:r>
    </w:p>
    <w:p w14:paraId="31DCE9F5" w14:textId="1295A6E0" w:rsidR="003544E5" w:rsidRPr="00DC120D" w:rsidRDefault="00393C7E" w:rsidP="00DB6915">
      <w:pPr>
        <w:spacing w:line="240" w:lineRule="auto"/>
        <w:jc w:val="both"/>
        <w:rPr>
          <w:rFonts w:eastAsia="Calibri"/>
          <w:color w:val="FF0000"/>
        </w:rPr>
      </w:pPr>
      <w:r w:rsidRPr="00A42408">
        <w:rPr>
          <w:rFonts w:eastAsia="Calibri"/>
          <w:noProof/>
          <w:color w:val="FF0000"/>
          <w:lang w:eastAsia="fr-FR"/>
        </w:rPr>
        <mc:AlternateContent>
          <mc:Choice Requires="wps">
            <w:drawing>
              <wp:anchor distT="0" distB="0" distL="114300" distR="114300" simplePos="0" relativeHeight="251658247" behindDoc="0" locked="0" layoutInCell="1" allowOverlap="1" wp14:anchorId="53E79C7A" wp14:editId="67A0A2B6">
                <wp:simplePos x="0" y="0"/>
                <wp:positionH relativeFrom="column">
                  <wp:posOffset>2159635</wp:posOffset>
                </wp:positionH>
                <wp:positionV relativeFrom="paragraph">
                  <wp:posOffset>225168</wp:posOffset>
                </wp:positionV>
                <wp:extent cx="1924050" cy="292100"/>
                <wp:effectExtent l="0" t="0" r="19050" b="12700"/>
                <wp:wrapNone/>
                <wp:docPr id="13" name="Rectangle 12">
                  <a:extLst xmlns:a="http://schemas.openxmlformats.org/drawingml/2006/main">
                    <a:ext uri="{FF2B5EF4-FFF2-40B4-BE49-F238E27FC236}">
                      <a16:creationId xmlns:a16="http://schemas.microsoft.com/office/drawing/2014/main" id="{1945694F-3AB9-4BCD-B599-0C3F82DA87CE}"/>
                    </a:ext>
                  </a:extLst>
                </wp:docPr>
                <wp:cNvGraphicFramePr/>
                <a:graphic xmlns:a="http://schemas.openxmlformats.org/drawingml/2006/main">
                  <a:graphicData uri="http://schemas.microsoft.com/office/word/2010/wordprocessingShape">
                    <wps:wsp>
                      <wps:cNvSpPr/>
                      <wps:spPr>
                        <a:xfrm>
                          <a:off x="0" y="0"/>
                          <a:ext cx="1924050" cy="29210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3CEE7B36" w14:textId="41A78BB3" w:rsidR="00D77DEE" w:rsidRPr="00A42408" w:rsidRDefault="00D77DEE" w:rsidP="009B5EB2">
                            <w:pPr>
                              <w:rPr>
                                <w:sz w:val="20"/>
                                <w:szCs w:val="20"/>
                              </w:rPr>
                            </w:pPr>
                            <w:r w:rsidRPr="00A42408">
                              <w:rPr>
                                <w:rFonts w:hAnsi="Calibri" w:cs="Arial"/>
                                <w:color w:val="FFFFFF"/>
                                <w:kern w:val="24"/>
                                <w:sz w:val="20"/>
                                <w:szCs w:val="20"/>
                              </w:rPr>
                              <w:t>Etat des lieux technique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3E79C7A" id="Rectangle 12" o:spid="_x0000_s1026" style="position:absolute;left:0;text-align:left;margin-left:170.05pt;margin-top:17.75pt;width:151.5pt;height:2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" fillcolor="#aeaaaa [2414]" strokecolor="#aeaaaa [2414]" strokeweight="1pt">
                <v:textbox>
                  <w:txbxContent>
                    <w:p w14:paraId="3CEE7B36" w14:textId="41A78BB3" w:rsidR="00D77DEE" w:rsidRPr="00A42408" w:rsidRDefault="00D77DEE" w:rsidP="009B5EB2">
                      <w:pPr>
                        <w:rPr>
                          <w:sz w:val="20"/>
                          <w:szCs w:val="20"/>
                        </w:rPr>
                      </w:pPr>
                      <w:r w:rsidRPr="00A42408">
                        <w:rPr>
                          <w:rFonts w:hAnsi="Calibri" w:cs="Arial"/>
                          <w:color w:val="FFFFFF"/>
                          <w:kern w:val="24"/>
                          <w:sz w:val="20"/>
                          <w:szCs w:val="20"/>
                        </w:rPr>
                        <w:t>Etat des lieux technique</w:t>
                      </w:r>
                    </w:p>
                  </w:txbxContent>
                </v:textbox>
              </v:rect>
            </w:pict>
          </mc:Fallback>
        </mc:AlternateContent>
      </w:r>
      <w:r w:rsidR="009B5EB2" w:rsidRPr="00DC120D">
        <w:rPr>
          <w:rFonts w:eastAsia="Calibri"/>
          <w:color w:val="FF0000"/>
        </w:rPr>
        <w:t>Phase 1 : modélisation du CPE</w:t>
      </w:r>
    </w:p>
    <w:p w14:paraId="099AE465" w14:textId="7B1D2915" w:rsidR="009B5EB2" w:rsidRPr="00A42408" w:rsidRDefault="00393C7E" w:rsidP="00DB6915">
      <w:pPr>
        <w:spacing w:line="240" w:lineRule="auto"/>
        <w:jc w:val="both"/>
        <w:rPr>
          <w:rFonts w:eastAsia="Calibri"/>
        </w:rPr>
      </w:pPr>
      <w:r w:rsidRPr="00A42408">
        <w:rPr>
          <w:rFonts w:eastAsia="Calibri"/>
          <w:noProof/>
          <w:color w:val="FF0000"/>
          <w:lang w:eastAsia="fr-FR"/>
        </w:rPr>
        <mc:AlternateContent>
          <mc:Choice Requires="wps">
            <w:drawing>
              <wp:anchor distT="0" distB="0" distL="114300" distR="114300" simplePos="0" relativeHeight="251658248" behindDoc="0" locked="0" layoutInCell="1" allowOverlap="1" wp14:anchorId="57570DDC" wp14:editId="50F5321F">
                <wp:simplePos x="0" y="0"/>
                <wp:positionH relativeFrom="column">
                  <wp:posOffset>2159770</wp:posOffset>
                </wp:positionH>
                <wp:positionV relativeFrom="paragraph">
                  <wp:posOffset>238125</wp:posOffset>
                </wp:positionV>
                <wp:extent cx="1924050" cy="457200"/>
                <wp:effectExtent l="0" t="0" r="19050" b="19050"/>
                <wp:wrapNone/>
                <wp:docPr id="14" name="Rectangle 13">
                  <a:extLst xmlns:a="http://schemas.openxmlformats.org/drawingml/2006/main">
                    <a:ext uri="{FF2B5EF4-FFF2-40B4-BE49-F238E27FC236}">
                      <a16:creationId xmlns:a16="http://schemas.microsoft.com/office/drawing/2014/main" id="{BADDC29B-8AEB-4542-8D09-27EDC581EB6A}"/>
                    </a:ext>
                  </a:extLst>
                </wp:docPr>
                <wp:cNvGraphicFramePr/>
                <a:graphic xmlns:a="http://schemas.openxmlformats.org/drawingml/2006/main">
                  <a:graphicData uri="http://schemas.microsoft.com/office/word/2010/wordprocessingShape">
                    <wps:wsp>
                      <wps:cNvSpPr/>
                      <wps:spPr>
                        <a:xfrm>
                          <a:off x="0" y="0"/>
                          <a:ext cx="1924050" cy="45720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3B84AF0E" w14:textId="553F7526" w:rsidR="00D77DEE" w:rsidRPr="00A42408" w:rsidRDefault="00D77DEE" w:rsidP="009B5EB2">
                            <w:pPr>
                              <w:rPr>
                                <w:sz w:val="20"/>
                                <w:szCs w:val="20"/>
                              </w:rPr>
                            </w:pPr>
                            <w:r w:rsidRPr="00A42408">
                              <w:rPr>
                                <w:rFonts w:hAnsi="Calibri" w:cs="Arial"/>
                                <w:color w:val="FFFFFF"/>
                                <w:kern w:val="24"/>
                                <w:sz w:val="20"/>
                                <w:szCs w:val="20"/>
                              </w:rPr>
                              <w:t>Analyse des usages, des besoins et de leurs dynamiques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7570DDC" id="Rectangle 13" o:spid="_x0000_s1027" style="position:absolute;left:0;text-align:left;margin-left:170.05pt;margin-top:18.75pt;width:151.5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" fillcolor="#aeaaaa [2414]" strokecolor="#aeaaaa [2414]" strokeweight="1pt">
                <v:textbox>
                  <w:txbxContent>
                    <w:p w14:paraId="3B84AF0E" w14:textId="553F7526" w:rsidR="00D77DEE" w:rsidRPr="00A42408" w:rsidRDefault="00D77DEE" w:rsidP="009B5EB2">
                      <w:pPr>
                        <w:rPr>
                          <w:sz w:val="20"/>
                          <w:szCs w:val="20"/>
                        </w:rPr>
                      </w:pPr>
                      <w:r w:rsidRPr="00A42408">
                        <w:rPr>
                          <w:rFonts w:hAnsi="Calibri" w:cs="Arial"/>
                          <w:color w:val="FFFFFF"/>
                          <w:kern w:val="24"/>
                          <w:sz w:val="20"/>
                          <w:szCs w:val="20"/>
                        </w:rPr>
                        <w:t>Analyse des usages, des besoins et de leurs dynamiques</w:t>
                      </w:r>
                    </w:p>
                  </w:txbxContent>
                </v:textbox>
              </v:rect>
            </w:pict>
          </mc:Fallback>
        </mc:AlternateContent>
      </w:r>
      <w:r w:rsidR="009B5EB2" w:rsidRPr="00A42408">
        <w:rPr>
          <w:rFonts w:eastAsia="Calibri"/>
          <w:noProof/>
          <w:lang w:eastAsia="fr-FR"/>
        </w:rPr>
        <mc:AlternateContent>
          <mc:Choice Requires="wps">
            <w:drawing>
              <wp:anchor distT="0" distB="0" distL="114300" distR="114300" simplePos="0" relativeHeight="251658243" behindDoc="0" locked="0" layoutInCell="1" allowOverlap="1" wp14:anchorId="456B77C2" wp14:editId="46DE296A">
                <wp:simplePos x="0" y="0"/>
                <wp:positionH relativeFrom="column">
                  <wp:posOffset>643255</wp:posOffset>
                </wp:positionH>
                <wp:positionV relativeFrom="paragraph">
                  <wp:posOffset>61595</wp:posOffset>
                </wp:positionV>
                <wp:extent cx="1758950" cy="527050"/>
                <wp:effectExtent l="0" t="0" r="12700" b="25400"/>
                <wp:wrapNone/>
                <wp:docPr id="12" name="Rectangle : coins arrondis 11">
                  <a:extLst xmlns:a="http://schemas.openxmlformats.org/drawingml/2006/main">
                    <a:ext uri="{FF2B5EF4-FFF2-40B4-BE49-F238E27FC236}">
                      <a16:creationId xmlns:a16="http://schemas.microsoft.com/office/drawing/2014/main" id="{26321F9C-A85C-450E-8E87-FFB6DD26317B}"/>
                    </a:ext>
                  </a:extLst>
                </wp:docPr>
                <wp:cNvGraphicFramePr/>
                <a:graphic xmlns:a="http://schemas.openxmlformats.org/drawingml/2006/main">
                  <a:graphicData uri="http://schemas.microsoft.com/office/word/2010/wordprocessingShape">
                    <wps:wsp>
                      <wps:cNvSpPr/>
                      <wps:spPr>
                        <a:xfrm>
                          <a:off x="0" y="0"/>
                          <a:ext cx="1758950" cy="52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DF9C8F" w14:textId="77777777" w:rsidR="00D77DEE" w:rsidRPr="00A42408" w:rsidRDefault="00D77DEE" w:rsidP="009B5EB2">
                            <w:pPr>
                              <w:spacing w:line="256" w:lineRule="auto"/>
                            </w:pPr>
                            <w:r w:rsidRPr="00A42408">
                              <w:rPr>
                                <w:rFonts w:ascii="Optima LT" w:eastAsia="Times New Roman" w:hAnsi="Optima LT"/>
                                <w:color w:val="FFFFFF" w:themeColor="background1"/>
                                <w:kern w:val="24"/>
                              </w:rPr>
                              <w:t>Connaissance de son patrimoine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56B77C2" id="Rectangle : coins arrondis 11" o:spid="_x0000_s1028" style="position:absolute;left:0;text-align:left;margin-left:50.65pt;margin-top:4.85pt;width:138.5pt;height:4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" fillcolor="#4472c4 [3204]" strokecolor="#1f3763 [1604]" strokeweight="1pt">
                <v:stroke joinstyle="miter"/>
                <v:textbox>
                  <w:txbxContent>
                    <w:p w14:paraId="6BDF9C8F" w14:textId="77777777" w:rsidR="00D77DEE" w:rsidRPr="00A42408" w:rsidRDefault="00D77DEE" w:rsidP="009B5EB2">
                      <w:pPr>
                        <w:spacing w:line="256" w:lineRule="auto"/>
                      </w:pPr>
                      <w:r w:rsidRPr="00A42408">
                        <w:rPr>
                          <w:rFonts w:ascii="Optima LT" w:eastAsia="Times New Roman" w:hAnsi="Optima LT"/>
                          <w:color w:val="FFFFFF" w:themeColor="background1"/>
                          <w:kern w:val="24"/>
                        </w:rPr>
                        <w:t>Connaissance de son patrimoine</w:t>
                      </w:r>
                    </w:p>
                  </w:txbxContent>
                </v:textbox>
              </v:roundrect>
            </w:pict>
          </mc:Fallback>
        </mc:AlternateContent>
      </w:r>
    </w:p>
    <w:p w14:paraId="1638A96C" w14:textId="1659A650" w:rsidR="009B5EB2" w:rsidRDefault="009B5EB2" w:rsidP="00DB6915">
      <w:pPr>
        <w:spacing w:line="240" w:lineRule="auto"/>
        <w:jc w:val="both"/>
        <w:rPr>
          <w:rFonts w:eastAsia="Calibri"/>
          <w:color w:val="FF0000"/>
        </w:rPr>
      </w:pPr>
    </w:p>
    <w:p w14:paraId="16C85D95" w14:textId="56457311" w:rsidR="009B5EB2" w:rsidRDefault="000A1097" w:rsidP="00DB6915">
      <w:pPr>
        <w:spacing w:line="240" w:lineRule="auto"/>
        <w:jc w:val="both"/>
        <w:rPr>
          <w:rFonts w:eastAsia="Calibri"/>
          <w:color w:val="FF0000"/>
        </w:rPr>
      </w:pPr>
      <w:r w:rsidRPr="00A42408">
        <w:rPr>
          <w:rFonts w:eastAsia="Calibri"/>
          <w:noProof/>
          <w:lang w:eastAsia="fr-FR"/>
        </w:rPr>
        <mc:AlternateContent>
          <mc:Choice Requires="wps">
            <w:drawing>
              <wp:anchor distT="0" distB="0" distL="114300" distR="114300" simplePos="0" relativeHeight="251658240" behindDoc="0" locked="0" layoutInCell="1" allowOverlap="1" wp14:anchorId="5323285F" wp14:editId="1E7CF4E9">
                <wp:simplePos x="0" y="0"/>
                <wp:positionH relativeFrom="column">
                  <wp:posOffset>446405</wp:posOffset>
                </wp:positionH>
                <wp:positionV relativeFrom="paragraph">
                  <wp:posOffset>276860</wp:posOffset>
                </wp:positionV>
                <wp:extent cx="1161415" cy="723900"/>
                <wp:effectExtent l="0" t="0" r="19685" b="19050"/>
                <wp:wrapNone/>
                <wp:docPr id="2" name="Ellipse 1">
                  <a:extLst xmlns:a="http://schemas.openxmlformats.org/drawingml/2006/main">
                    <a:ext uri="{FF2B5EF4-FFF2-40B4-BE49-F238E27FC236}">
                      <a16:creationId xmlns:a16="http://schemas.microsoft.com/office/drawing/2014/main" id="{D78F9821-D4F4-4D98-8BC5-A3FAE3AEFB32}"/>
                    </a:ext>
                  </a:extLst>
                </wp:docPr>
                <wp:cNvGraphicFramePr/>
                <a:graphic xmlns:a="http://schemas.openxmlformats.org/drawingml/2006/main">
                  <a:graphicData uri="http://schemas.microsoft.com/office/word/2010/wordprocessingShape">
                    <wps:wsp>
                      <wps:cNvSpPr/>
                      <wps:spPr>
                        <a:xfrm>
                          <a:off x="0" y="0"/>
                          <a:ext cx="1161415" cy="7239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77AB752" w14:textId="77777777" w:rsidR="00D77DEE" w:rsidRPr="00A42408" w:rsidRDefault="00D77DEE" w:rsidP="009B5EB2">
                            <w:pPr>
                              <w:jc w:val="center"/>
                            </w:pPr>
                            <w:r w:rsidRPr="00A42408">
                              <w:rPr>
                                <w:rFonts w:ascii="Calibri" w:eastAsia="Calibri" w:hAnsi="Calibri"/>
                                <w:color w:val="FFFFFF" w:themeColor="light1"/>
                                <w:kern w:val="24"/>
                              </w:rPr>
                              <w:t>Modéliser le projet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323285F" id="Ellipse 1" o:spid="_x0000_s1029" style="position:absolute;left:0;text-align:left;margin-left:35.15pt;margin-top:21.8pt;width:91.4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" fillcolor="#ed7d31 [3205]" strokecolor="#823b0b [1605]" strokeweight="1pt">
                <v:stroke joinstyle="miter"/>
                <v:textbox>
                  <w:txbxContent>
                    <w:p w14:paraId="677AB752" w14:textId="77777777" w:rsidR="00D77DEE" w:rsidRPr="00A42408" w:rsidRDefault="00D77DEE" w:rsidP="009B5EB2">
                      <w:pPr>
                        <w:jc w:val="center"/>
                      </w:pPr>
                      <w:r w:rsidRPr="00A42408">
                        <w:rPr>
                          <w:rFonts w:ascii="Calibri" w:eastAsia="Calibri" w:hAnsi="Calibri"/>
                          <w:color w:val="FFFFFF" w:themeColor="light1"/>
                          <w:kern w:val="24"/>
                        </w:rPr>
                        <w:t>Modéliser le projet</w:t>
                      </w:r>
                    </w:p>
                  </w:txbxContent>
                </v:textbox>
              </v:oval>
            </w:pict>
          </mc:Fallback>
        </mc:AlternateContent>
      </w:r>
    </w:p>
    <w:p w14:paraId="1FBAE10E" w14:textId="76953CAB" w:rsidR="009B5EB2" w:rsidRDefault="00E87897" w:rsidP="00DB6915">
      <w:pPr>
        <w:spacing w:line="240" w:lineRule="auto"/>
        <w:jc w:val="both"/>
        <w:rPr>
          <w:rFonts w:eastAsia="Calibri"/>
          <w:color w:val="FF0000"/>
        </w:rPr>
      </w:pPr>
      <w:r w:rsidRPr="00A42408">
        <w:rPr>
          <w:rFonts w:eastAsia="Calibri"/>
          <w:noProof/>
          <w:color w:val="FF0000"/>
          <w:lang w:eastAsia="fr-FR"/>
        </w:rPr>
        <mc:AlternateContent>
          <mc:Choice Requires="wps">
            <w:drawing>
              <wp:anchor distT="0" distB="0" distL="114300" distR="114300" simplePos="0" relativeHeight="251658244" behindDoc="0" locked="0" layoutInCell="1" allowOverlap="1" wp14:anchorId="5234FC8A" wp14:editId="61C02EA2">
                <wp:simplePos x="0" y="0"/>
                <wp:positionH relativeFrom="margin">
                  <wp:posOffset>4083266</wp:posOffset>
                </wp:positionH>
                <wp:positionV relativeFrom="paragraph">
                  <wp:posOffset>172539</wp:posOffset>
                </wp:positionV>
                <wp:extent cx="1936750" cy="453006"/>
                <wp:effectExtent l="0" t="0" r="19050" b="17145"/>
                <wp:wrapNone/>
                <wp:docPr id="4" name="Rectangle 3">
                  <a:extLst xmlns:a="http://schemas.openxmlformats.org/drawingml/2006/main">
                    <a:ext uri="{FF2B5EF4-FFF2-40B4-BE49-F238E27FC236}">
                      <a16:creationId xmlns:a16="http://schemas.microsoft.com/office/drawing/2014/main" id="{3DE907A9-3D2D-4E34-8B65-808F1F111072}"/>
                    </a:ext>
                  </a:extLst>
                </wp:docPr>
                <wp:cNvGraphicFramePr/>
                <a:graphic xmlns:a="http://schemas.openxmlformats.org/drawingml/2006/main">
                  <a:graphicData uri="http://schemas.microsoft.com/office/word/2010/wordprocessingShape">
                    <wps:wsp>
                      <wps:cNvSpPr/>
                      <wps:spPr>
                        <a:xfrm>
                          <a:off x="0" y="0"/>
                          <a:ext cx="1936750" cy="453006"/>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0B4B29CD" w14:textId="20B12F2E" w:rsidR="00D77DEE" w:rsidRPr="00A42408" w:rsidRDefault="00D77DEE" w:rsidP="009B5EB2">
                            <w:pPr>
                              <w:rPr>
                                <w:sz w:val="20"/>
                                <w:szCs w:val="20"/>
                              </w:rPr>
                            </w:pPr>
                            <w:r>
                              <w:rPr>
                                <w:rFonts w:hAnsi="Calibri" w:cs="Arial"/>
                                <w:color w:val="FFFFFF"/>
                                <w:kern w:val="24"/>
                                <w:sz w:val="20"/>
                                <w:szCs w:val="20"/>
                              </w:rPr>
                              <w:t xml:space="preserve">Actions de Rénovation et </w:t>
                            </w:r>
                            <w:r w:rsidRPr="00A42408">
                              <w:rPr>
                                <w:rFonts w:hAnsi="Calibri" w:cs="Arial"/>
                                <w:color w:val="FFFFFF"/>
                                <w:kern w:val="24"/>
                                <w:sz w:val="20"/>
                                <w:szCs w:val="20"/>
                              </w:rPr>
                              <w:t>économie</w:t>
                            </w:r>
                            <w:r>
                              <w:rPr>
                                <w:rFonts w:hAnsi="Calibri" w:cs="Arial"/>
                                <w:color w:val="FFFFFF"/>
                                <w:kern w:val="24"/>
                                <w:sz w:val="20"/>
                                <w:szCs w:val="20"/>
                              </w:rPr>
                              <w:t>s</w:t>
                            </w:r>
                            <w:r w:rsidRPr="00A42408">
                              <w:rPr>
                                <w:rFonts w:hAnsi="Calibri" w:cs="Arial"/>
                                <w:color w:val="FFFFFF"/>
                                <w:kern w:val="24"/>
                                <w:sz w:val="20"/>
                                <w:szCs w:val="20"/>
                              </w:rPr>
                              <w:t xml:space="preserve"> d’énergie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34FC8A" id="Rectangle 3" o:spid="_x0000_s1030" style="position:absolute;left:0;text-align:left;margin-left:321.5pt;margin-top:13.6pt;width:152.5pt;height:35.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" fillcolor="#aeaaaa [2414]" strokecolor="#aeaaaa [2414]" strokeweight="1pt">
                <v:textbox>
                  <w:txbxContent>
                    <w:p w14:paraId="0B4B29CD" w14:textId="20B12F2E" w:rsidR="00D77DEE" w:rsidRPr="00A42408" w:rsidRDefault="00D77DEE" w:rsidP="009B5EB2">
                      <w:pPr>
                        <w:rPr>
                          <w:sz w:val="20"/>
                          <w:szCs w:val="20"/>
                        </w:rPr>
                      </w:pPr>
                      <w:r>
                        <w:rPr>
                          <w:rFonts w:hAnsi="Calibri" w:cs="Arial"/>
                          <w:color w:val="FFFFFF"/>
                          <w:kern w:val="24"/>
                          <w:sz w:val="20"/>
                          <w:szCs w:val="20"/>
                        </w:rPr>
                        <w:t xml:space="preserve">Actions de Rénovation et </w:t>
                      </w:r>
                      <w:r w:rsidRPr="00A42408">
                        <w:rPr>
                          <w:rFonts w:hAnsi="Calibri" w:cs="Arial"/>
                          <w:color w:val="FFFFFF"/>
                          <w:kern w:val="24"/>
                          <w:sz w:val="20"/>
                          <w:szCs w:val="20"/>
                        </w:rPr>
                        <w:t>économie</w:t>
                      </w:r>
                      <w:r>
                        <w:rPr>
                          <w:rFonts w:hAnsi="Calibri" w:cs="Arial"/>
                          <w:color w:val="FFFFFF"/>
                          <w:kern w:val="24"/>
                          <w:sz w:val="20"/>
                          <w:szCs w:val="20"/>
                        </w:rPr>
                        <w:t>s</w:t>
                      </w:r>
                      <w:r w:rsidRPr="00A42408">
                        <w:rPr>
                          <w:rFonts w:hAnsi="Calibri" w:cs="Arial"/>
                          <w:color w:val="FFFFFF"/>
                          <w:kern w:val="24"/>
                          <w:sz w:val="20"/>
                          <w:szCs w:val="20"/>
                        </w:rPr>
                        <w:t xml:space="preserve"> d’énergie </w:t>
                      </w:r>
                    </w:p>
                  </w:txbxContent>
                </v:textbox>
                <w10:wrap anchorx="margin"/>
              </v:rect>
            </w:pict>
          </mc:Fallback>
        </mc:AlternateContent>
      </w:r>
    </w:p>
    <w:p w14:paraId="5F588F98" w14:textId="1E811062" w:rsidR="009B5EB2" w:rsidRDefault="009B5EB2" w:rsidP="00DB6915">
      <w:pPr>
        <w:spacing w:line="240" w:lineRule="auto"/>
        <w:jc w:val="both"/>
        <w:rPr>
          <w:rFonts w:eastAsia="Calibri"/>
          <w:color w:val="FF0000"/>
        </w:rPr>
      </w:pPr>
      <w:r w:rsidRPr="00A42408">
        <w:rPr>
          <w:rFonts w:eastAsia="Calibri"/>
          <w:noProof/>
          <w:lang w:eastAsia="fr-FR"/>
        </w:rPr>
        <mc:AlternateContent>
          <mc:Choice Requires="wps">
            <w:drawing>
              <wp:anchor distT="0" distB="0" distL="114300" distR="114300" simplePos="0" relativeHeight="251658241" behindDoc="0" locked="0" layoutInCell="1" allowOverlap="1" wp14:anchorId="0F824FE7" wp14:editId="7FE66391">
                <wp:simplePos x="0" y="0"/>
                <wp:positionH relativeFrom="column">
                  <wp:posOffset>2414905</wp:posOffset>
                </wp:positionH>
                <wp:positionV relativeFrom="paragraph">
                  <wp:posOffset>106680</wp:posOffset>
                </wp:positionV>
                <wp:extent cx="1752600" cy="419100"/>
                <wp:effectExtent l="0" t="0" r="19050" b="19050"/>
                <wp:wrapNone/>
                <wp:docPr id="3" name="Rectangle : coins arrondis 2">
                  <a:extLst xmlns:a="http://schemas.openxmlformats.org/drawingml/2006/main">
                    <a:ext uri="{FF2B5EF4-FFF2-40B4-BE49-F238E27FC236}">
                      <a16:creationId xmlns:a16="http://schemas.microsoft.com/office/drawing/2014/main" id="{0554DD29-229B-46AE-992C-6C42A0835C09}"/>
                    </a:ext>
                  </a:extLst>
                </wp:docPr>
                <wp:cNvGraphicFramePr/>
                <a:graphic xmlns:a="http://schemas.openxmlformats.org/drawingml/2006/main">
                  <a:graphicData uri="http://schemas.microsoft.com/office/word/2010/wordprocessingShape">
                    <wps:wsp>
                      <wps:cNvSpPr/>
                      <wps:spPr>
                        <a:xfrm>
                          <a:off x="0" y="0"/>
                          <a:ext cx="1752600"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31A705" w14:textId="77777777" w:rsidR="00D77DEE" w:rsidRPr="00A42408" w:rsidRDefault="00D77DEE" w:rsidP="009B5EB2">
                            <w:pPr>
                              <w:spacing w:line="256" w:lineRule="auto"/>
                            </w:pPr>
                            <w:r>
                              <w:rPr>
                                <w:rFonts w:ascii="Optima LT" w:eastAsia="Calibri" w:hAnsi="Optima LT"/>
                                <w:color w:val="FFFFFF" w:themeColor="background1"/>
                                <w:kern w:val="24"/>
                              </w:rPr>
                              <w:t>Potentiel de rénovation</w:t>
                            </w:r>
                            <w:r w:rsidRPr="00A42408">
                              <w:rPr>
                                <w:rFonts w:ascii="Optima LT" w:eastAsia="Calibri" w:hAnsi="Optima LT"/>
                                <w:color w:val="FFFFFF" w:themeColor="background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F824FE7" id="Rectangle : coins arrondis 2" o:spid="_x0000_s1031" style="position:absolute;left:0;text-align:left;margin-left:190.15pt;margin-top:8.4pt;width:138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" fillcolor="#4472c4 [3204]" strokecolor="#1f3763 [1604]" strokeweight="1pt">
                <v:stroke joinstyle="miter"/>
                <v:textbox>
                  <w:txbxContent>
                    <w:p w14:paraId="1431A705" w14:textId="77777777" w:rsidR="00D77DEE" w:rsidRPr="00A42408" w:rsidRDefault="00D77DEE" w:rsidP="009B5EB2">
                      <w:pPr>
                        <w:spacing w:line="256" w:lineRule="auto"/>
                      </w:pPr>
                      <w:r>
                        <w:rPr>
                          <w:rFonts w:ascii="Optima LT" w:eastAsia="Calibri" w:hAnsi="Optima LT"/>
                          <w:color w:val="FFFFFF" w:themeColor="background1"/>
                          <w:kern w:val="24"/>
                        </w:rPr>
                        <w:t>Potentiel de rénovation</w:t>
                      </w:r>
                      <w:r w:rsidRPr="00A42408">
                        <w:rPr>
                          <w:rFonts w:ascii="Optima LT" w:eastAsia="Calibri" w:hAnsi="Optima LT"/>
                          <w:color w:val="FFFFFF" w:themeColor="background1"/>
                          <w:kern w:val="24"/>
                        </w:rPr>
                        <w:t xml:space="preserve"> </w:t>
                      </w:r>
                    </w:p>
                  </w:txbxContent>
                </v:textbox>
              </v:roundrect>
            </w:pict>
          </mc:Fallback>
        </mc:AlternateContent>
      </w:r>
    </w:p>
    <w:p w14:paraId="63899092" w14:textId="34D012C6" w:rsidR="009B5EB2" w:rsidRDefault="00E87897" w:rsidP="00DB6915">
      <w:pPr>
        <w:spacing w:line="240" w:lineRule="auto"/>
        <w:jc w:val="both"/>
        <w:rPr>
          <w:rFonts w:eastAsia="Calibri"/>
          <w:color w:val="FF0000"/>
        </w:rPr>
      </w:pPr>
      <w:r w:rsidRPr="00A42408">
        <w:rPr>
          <w:rFonts w:eastAsia="Calibri"/>
          <w:noProof/>
          <w:color w:val="FF0000"/>
          <w:lang w:eastAsia="fr-FR"/>
        </w:rPr>
        <mc:AlternateContent>
          <mc:Choice Requires="wps">
            <w:drawing>
              <wp:anchor distT="0" distB="0" distL="114300" distR="114300" simplePos="0" relativeHeight="251658245" behindDoc="0" locked="0" layoutInCell="1" allowOverlap="1" wp14:anchorId="1C9A59F2" wp14:editId="3DC2D039">
                <wp:simplePos x="0" y="0"/>
                <wp:positionH relativeFrom="margin">
                  <wp:posOffset>4086225</wp:posOffset>
                </wp:positionH>
                <wp:positionV relativeFrom="paragraph">
                  <wp:posOffset>83930</wp:posOffset>
                </wp:positionV>
                <wp:extent cx="1943100" cy="330200"/>
                <wp:effectExtent l="0" t="0" r="19050" b="12700"/>
                <wp:wrapNone/>
                <wp:docPr id="8" name="Rectangle 7">
                  <a:extLst xmlns:a="http://schemas.openxmlformats.org/drawingml/2006/main">
                    <a:ext uri="{FF2B5EF4-FFF2-40B4-BE49-F238E27FC236}">
                      <a16:creationId xmlns:a16="http://schemas.microsoft.com/office/drawing/2014/main" id="{BAF23761-F765-4DF8-9CA4-29506F13F9C5}"/>
                    </a:ext>
                  </a:extLst>
                </wp:docPr>
                <wp:cNvGraphicFramePr/>
                <a:graphic xmlns:a="http://schemas.openxmlformats.org/drawingml/2006/main">
                  <a:graphicData uri="http://schemas.microsoft.com/office/word/2010/wordprocessingShape">
                    <wps:wsp>
                      <wps:cNvSpPr/>
                      <wps:spPr>
                        <a:xfrm>
                          <a:off x="0" y="0"/>
                          <a:ext cx="1943100" cy="33020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5CB15C80" w14:textId="77777777" w:rsidR="00D77DEE" w:rsidRPr="00A42408" w:rsidRDefault="00D77DEE" w:rsidP="009B5EB2">
                            <w:pPr>
                              <w:rPr>
                                <w:sz w:val="20"/>
                                <w:szCs w:val="20"/>
                              </w:rPr>
                            </w:pPr>
                            <w:r>
                              <w:rPr>
                                <w:rFonts w:hAnsi="Calibri" w:cs="Arial"/>
                                <w:color w:val="FFFFFF"/>
                                <w:kern w:val="24"/>
                                <w:sz w:val="20"/>
                                <w:szCs w:val="20"/>
                              </w:rPr>
                              <w:t xml:space="preserve">Impact </w:t>
                            </w:r>
                            <w:r w:rsidRPr="00A42408">
                              <w:rPr>
                                <w:rFonts w:hAnsi="Calibri" w:cs="Arial"/>
                                <w:color w:val="FFFFFF"/>
                                <w:kern w:val="24"/>
                                <w:sz w:val="20"/>
                                <w:szCs w:val="20"/>
                              </w:rPr>
                              <w:t xml:space="preserve">entretien et maintenance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9A59F2" id="Rectangle 7" o:spid="_x0000_s1032" style="position:absolute;left:0;text-align:left;margin-left:321.75pt;margin-top:6.6pt;width:153pt;height:2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" fillcolor="#aeaaaa [2414]" strokecolor="#aeaaaa [2414]" strokeweight="1pt">
                <v:textbox>
                  <w:txbxContent>
                    <w:p w14:paraId="5CB15C80" w14:textId="77777777" w:rsidR="00D77DEE" w:rsidRPr="00A42408" w:rsidRDefault="00D77DEE" w:rsidP="009B5EB2">
                      <w:pPr>
                        <w:rPr>
                          <w:sz w:val="20"/>
                          <w:szCs w:val="20"/>
                        </w:rPr>
                      </w:pPr>
                      <w:r>
                        <w:rPr>
                          <w:rFonts w:hAnsi="Calibri" w:cs="Arial"/>
                          <w:color w:val="FFFFFF"/>
                          <w:kern w:val="24"/>
                          <w:sz w:val="20"/>
                          <w:szCs w:val="20"/>
                        </w:rPr>
                        <w:t xml:space="preserve">Impact </w:t>
                      </w:r>
                      <w:r w:rsidRPr="00A42408">
                        <w:rPr>
                          <w:rFonts w:hAnsi="Calibri" w:cs="Arial"/>
                          <w:color w:val="FFFFFF"/>
                          <w:kern w:val="24"/>
                          <w:sz w:val="20"/>
                          <w:szCs w:val="20"/>
                        </w:rPr>
                        <w:t xml:space="preserve">entretien et maintenance </w:t>
                      </w:r>
                    </w:p>
                  </w:txbxContent>
                </v:textbox>
                <w10:wrap anchorx="margin"/>
              </v:rect>
            </w:pict>
          </mc:Fallback>
        </mc:AlternateContent>
      </w:r>
    </w:p>
    <w:p w14:paraId="2F7C2B2C" w14:textId="121BA5A7" w:rsidR="009B5EB2" w:rsidRDefault="009B5EB2" w:rsidP="00DB6915">
      <w:pPr>
        <w:spacing w:line="240" w:lineRule="auto"/>
        <w:jc w:val="both"/>
        <w:rPr>
          <w:rFonts w:eastAsia="Calibri"/>
          <w:color w:val="FF0000"/>
        </w:rPr>
      </w:pPr>
      <w:r w:rsidRPr="00A42408">
        <w:rPr>
          <w:rFonts w:eastAsia="Calibri"/>
          <w:noProof/>
          <w:lang w:eastAsia="fr-FR"/>
        </w:rPr>
        <mc:AlternateContent>
          <mc:Choice Requires="wps">
            <w:drawing>
              <wp:anchor distT="0" distB="0" distL="114300" distR="114300" simplePos="0" relativeHeight="251658242" behindDoc="0" locked="0" layoutInCell="1" allowOverlap="1" wp14:anchorId="102F6D1B" wp14:editId="54B2587D">
                <wp:simplePos x="0" y="0"/>
                <wp:positionH relativeFrom="column">
                  <wp:posOffset>182245</wp:posOffset>
                </wp:positionH>
                <wp:positionV relativeFrom="paragraph">
                  <wp:posOffset>118285</wp:posOffset>
                </wp:positionV>
                <wp:extent cx="1752600" cy="637073"/>
                <wp:effectExtent l="0" t="0" r="12700" b="10795"/>
                <wp:wrapNone/>
                <wp:docPr id="9" name="Rectangle : coins arrondis 8">
                  <a:extLst xmlns:a="http://schemas.openxmlformats.org/drawingml/2006/main">
                    <a:ext uri="{FF2B5EF4-FFF2-40B4-BE49-F238E27FC236}">
                      <a16:creationId xmlns:a16="http://schemas.microsoft.com/office/drawing/2014/main" id="{C51BD059-C1BF-4612-9E13-1B0A525F347F}"/>
                    </a:ext>
                  </a:extLst>
                </wp:docPr>
                <wp:cNvGraphicFramePr/>
                <a:graphic xmlns:a="http://schemas.openxmlformats.org/drawingml/2006/main">
                  <a:graphicData uri="http://schemas.microsoft.com/office/word/2010/wordprocessingShape">
                    <wps:wsp>
                      <wps:cNvSpPr/>
                      <wps:spPr>
                        <a:xfrm>
                          <a:off x="0" y="0"/>
                          <a:ext cx="1752600" cy="63707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588E65" w14:textId="67566DCE" w:rsidR="00D77DEE" w:rsidRPr="00A42408" w:rsidRDefault="00D77DEE" w:rsidP="009B5EB2">
                            <w:pPr>
                              <w:spacing w:line="256" w:lineRule="auto"/>
                            </w:pPr>
                            <w:r w:rsidRPr="00A42408">
                              <w:rPr>
                                <w:rFonts w:ascii="Optima LT" w:hAnsi="Optima LT"/>
                                <w:color w:val="FFFFFF" w:themeColor="background1"/>
                                <w:kern w:val="24"/>
                              </w:rPr>
                              <w:t xml:space="preserve">Capacité </w:t>
                            </w:r>
                            <w:r>
                              <w:rPr>
                                <w:rFonts w:ascii="Optima LT" w:hAnsi="Optima LT"/>
                                <w:color w:val="FFFFFF" w:themeColor="background1"/>
                                <w:kern w:val="24"/>
                              </w:rPr>
                              <w:t>du Maître d’Ouvrage</w:t>
                            </w:r>
                            <w:r w:rsidRPr="00A42408">
                              <w:rPr>
                                <w:rFonts w:ascii="Optima LT" w:hAnsi="Optima LT"/>
                                <w:color w:val="FFFFFF" w:themeColor="background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02F6D1B" id="Rectangle : coins arrondis 8" o:spid="_x0000_s1033" style="position:absolute;left:0;text-align:left;margin-left:14.35pt;margin-top:9.3pt;width:138pt;height:5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" fillcolor="#4472c4 [3204]" strokecolor="#1f3763 [1604]" strokeweight="1pt">
                <v:stroke joinstyle="miter"/>
                <v:textbox>
                  <w:txbxContent>
                    <w:p w14:paraId="17588E65" w14:textId="67566DCE" w:rsidR="00D77DEE" w:rsidRPr="00A42408" w:rsidRDefault="00D77DEE" w:rsidP="009B5EB2">
                      <w:pPr>
                        <w:spacing w:line="256" w:lineRule="auto"/>
                      </w:pPr>
                      <w:r w:rsidRPr="00A42408">
                        <w:rPr>
                          <w:rFonts w:ascii="Optima LT" w:hAnsi="Optima LT"/>
                          <w:color w:val="FFFFFF" w:themeColor="background1"/>
                          <w:kern w:val="24"/>
                        </w:rPr>
                        <w:t xml:space="preserve">Capacité </w:t>
                      </w:r>
                      <w:r>
                        <w:rPr>
                          <w:rFonts w:ascii="Optima LT" w:hAnsi="Optima LT"/>
                          <w:color w:val="FFFFFF" w:themeColor="background1"/>
                          <w:kern w:val="24"/>
                        </w:rPr>
                        <w:t>du Maître d’Ouvrage</w:t>
                      </w:r>
                      <w:r w:rsidRPr="00A42408">
                        <w:rPr>
                          <w:rFonts w:ascii="Optima LT" w:hAnsi="Optima LT"/>
                          <w:color w:val="FFFFFF" w:themeColor="background1"/>
                          <w:kern w:val="24"/>
                        </w:rPr>
                        <w:t xml:space="preserve"> </w:t>
                      </w:r>
                    </w:p>
                  </w:txbxContent>
                </v:textbox>
              </v:roundrect>
            </w:pict>
          </mc:Fallback>
        </mc:AlternateContent>
      </w:r>
      <w:r w:rsidRPr="00A42408">
        <w:rPr>
          <w:rFonts w:eastAsia="Calibri"/>
          <w:noProof/>
          <w:color w:val="FF0000"/>
          <w:lang w:eastAsia="fr-FR"/>
        </w:rPr>
        <mc:AlternateContent>
          <mc:Choice Requires="wps">
            <w:drawing>
              <wp:anchor distT="0" distB="0" distL="114300" distR="114300" simplePos="0" relativeHeight="251658246" behindDoc="0" locked="0" layoutInCell="1" allowOverlap="1" wp14:anchorId="7B7E54AF" wp14:editId="3883B77C">
                <wp:simplePos x="0" y="0"/>
                <wp:positionH relativeFrom="column">
                  <wp:posOffset>1887855</wp:posOffset>
                </wp:positionH>
                <wp:positionV relativeFrom="paragraph">
                  <wp:posOffset>170180</wp:posOffset>
                </wp:positionV>
                <wp:extent cx="1530350" cy="298450"/>
                <wp:effectExtent l="0" t="0" r="12700" b="25400"/>
                <wp:wrapNone/>
                <wp:docPr id="10" name="Rectangle 9">
                  <a:extLst xmlns:a="http://schemas.openxmlformats.org/drawingml/2006/main">
                    <a:ext uri="{FF2B5EF4-FFF2-40B4-BE49-F238E27FC236}">
                      <a16:creationId xmlns:a16="http://schemas.microsoft.com/office/drawing/2014/main" id="{D502A42A-2506-442D-B02D-42B4B63BE1DC}"/>
                    </a:ext>
                  </a:extLst>
                </wp:docPr>
                <wp:cNvGraphicFramePr/>
                <a:graphic xmlns:a="http://schemas.openxmlformats.org/drawingml/2006/main">
                  <a:graphicData uri="http://schemas.microsoft.com/office/word/2010/wordprocessingShape">
                    <wps:wsp>
                      <wps:cNvSpPr/>
                      <wps:spPr>
                        <a:xfrm>
                          <a:off x="0" y="0"/>
                          <a:ext cx="1530350" cy="29845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3F84E5F2" w14:textId="77777777" w:rsidR="00D77DEE" w:rsidRPr="00A42408" w:rsidRDefault="00D77DEE" w:rsidP="009B5EB2">
                            <w:pPr>
                              <w:rPr>
                                <w:sz w:val="20"/>
                                <w:szCs w:val="20"/>
                              </w:rPr>
                            </w:pPr>
                            <w:r>
                              <w:rPr>
                                <w:rFonts w:hAnsi="Calibri" w:cs="Arial"/>
                                <w:color w:val="FFFFFF"/>
                                <w:kern w:val="24"/>
                                <w:sz w:val="20"/>
                                <w:szCs w:val="20"/>
                              </w:rPr>
                              <w:t>F</w:t>
                            </w:r>
                            <w:r w:rsidRPr="00A42408">
                              <w:rPr>
                                <w:rFonts w:hAnsi="Calibri" w:cs="Arial"/>
                                <w:color w:val="FFFFFF"/>
                                <w:kern w:val="24"/>
                                <w:sz w:val="20"/>
                                <w:szCs w:val="20"/>
                              </w:rPr>
                              <w:t xml:space="preserve">inancement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B7E54AF" id="Rectangle 9" o:spid="_x0000_s1034" style="position:absolute;left:0;text-align:left;margin-left:148.65pt;margin-top:13.4pt;width:120.5pt;height: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" fillcolor="#aeaaaa [2414]" strokecolor="#aeaaaa [2414]" strokeweight="1pt">
                <v:textbox>
                  <w:txbxContent>
                    <w:p w14:paraId="3F84E5F2" w14:textId="77777777" w:rsidR="00D77DEE" w:rsidRPr="00A42408" w:rsidRDefault="00D77DEE" w:rsidP="009B5EB2">
                      <w:pPr>
                        <w:rPr>
                          <w:sz w:val="20"/>
                          <w:szCs w:val="20"/>
                        </w:rPr>
                      </w:pPr>
                      <w:r>
                        <w:rPr>
                          <w:rFonts w:hAnsi="Calibri" w:cs="Arial"/>
                          <w:color w:val="FFFFFF"/>
                          <w:kern w:val="24"/>
                          <w:sz w:val="20"/>
                          <w:szCs w:val="20"/>
                        </w:rPr>
                        <w:t>F</w:t>
                      </w:r>
                      <w:r w:rsidRPr="00A42408">
                        <w:rPr>
                          <w:rFonts w:hAnsi="Calibri" w:cs="Arial"/>
                          <w:color w:val="FFFFFF"/>
                          <w:kern w:val="24"/>
                          <w:sz w:val="20"/>
                          <w:szCs w:val="20"/>
                        </w:rPr>
                        <w:t xml:space="preserve">inancement </w:t>
                      </w:r>
                    </w:p>
                  </w:txbxContent>
                </v:textbox>
              </v:rect>
            </w:pict>
          </mc:Fallback>
        </mc:AlternateContent>
      </w:r>
    </w:p>
    <w:p w14:paraId="499113AC" w14:textId="49AEA347" w:rsidR="009B5EB2" w:rsidRDefault="00393C7E" w:rsidP="00DB6915">
      <w:pPr>
        <w:spacing w:line="240" w:lineRule="auto"/>
        <w:jc w:val="both"/>
        <w:rPr>
          <w:rFonts w:eastAsia="Calibri"/>
          <w:color w:val="FF0000"/>
        </w:rPr>
      </w:pPr>
      <w:r w:rsidRPr="00A42408">
        <w:rPr>
          <w:rFonts w:eastAsia="Calibri"/>
          <w:noProof/>
          <w:color w:val="FF0000"/>
          <w:lang w:eastAsia="fr-FR"/>
        </w:rPr>
        <mc:AlternateContent>
          <mc:Choice Requires="wps">
            <w:drawing>
              <wp:anchor distT="0" distB="0" distL="114300" distR="114300" simplePos="0" relativeHeight="251658249" behindDoc="0" locked="0" layoutInCell="1" allowOverlap="1" wp14:anchorId="3022D7E8" wp14:editId="33839BB1">
                <wp:simplePos x="0" y="0"/>
                <wp:positionH relativeFrom="column">
                  <wp:posOffset>1887855</wp:posOffset>
                </wp:positionH>
                <wp:positionV relativeFrom="paragraph">
                  <wp:posOffset>193040</wp:posOffset>
                </wp:positionV>
                <wp:extent cx="1530350" cy="273050"/>
                <wp:effectExtent l="0" t="0" r="12700" b="12700"/>
                <wp:wrapNone/>
                <wp:docPr id="15" name="Rectangle 14">
                  <a:extLst xmlns:a="http://schemas.openxmlformats.org/drawingml/2006/main">
                    <a:ext uri="{FF2B5EF4-FFF2-40B4-BE49-F238E27FC236}">
                      <a16:creationId xmlns:a16="http://schemas.microsoft.com/office/drawing/2014/main" id="{E8898B45-B073-4EC5-B359-5D023A602BB6}"/>
                    </a:ext>
                  </a:extLst>
                </wp:docPr>
                <wp:cNvGraphicFramePr/>
                <a:graphic xmlns:a="http://schemas.openxmlformats.org/drawingml/2006/main">
                  <a:graphicData uri="http://schemas.microsoft.com/office/word/2010/wordprocessingShape">
                    <wps:wsp>
                      <wps:cNvSpPr/>
                      <wps:spPr>
                        <a:xfrm>
                          <a:off x="0" y="0"/>
                          <a:ext cx="1530350" cy="27305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1D56582F" w14:textId="77777777" w:rsidR="00D77DEE" w:rsidRPr="00A42408" w:rsidRDefault="00D77DEE" w:rsidP="009B5EB2">
                            <w:pPr>
                              <w:rPr>
                                <w:sz w:val="20"/>
                                <w:szCs w:val="20"/>
                              </w:rPr>
                            </w:pPr>
                            <w:r w:rsidRPr="00A42408">
                              <w:rPr>
                                <w:rFonts w:hAnsi="Calibri" w:cs="Arial"/>
                                <w:color w:val="FFFFFF"/>
                                <w:kern w:val="24"/>
                                <w:sz w:val="20"/>
                                <w:szCs w:val="20"/>
                              </w:rPr>
                              <w:t>Moyens humains</w:t>
                            </w:r>
                            <w:r>
                              <w:rPr>
                                <w:rFonts w:hAnsi="Calibri" w:cs="Arial"/>
                                <w:color w:val="FFFFFF"/>
                                <w:kern w:val="24"/>
                                <w:sz w:val="20"/>
                                <w:szCs w:val="20"/>
                              </w:rPr>
                              <w:t xml:space="preserve"> / AMO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022D7E8" id="Rectangle 14" o:spid="_x0000_s1035" style="position:absolute;left:0;text-align:left;margin-left:148.65pt;margin-top:15.2pt;width:120.5pt;height:2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" fillcolor="#aeaaaa [2414]" strokecolor="#aeaaaa [2414]" strokeweight="1pt">
                <v:textbox>
                  <w:txbxContent>
                    <w:p w14:paraId="1D56582F" w14:textId="77777777" w:rsidR="00D77DEE" w:rsidRPr="00A42408" w:rsidRDefault="00D77DEE" w:rsidP="009B5EB2">
                      <w:pPr>
                        <w:rPr>
                          <w:sz w:val="20"/>
                          <w:szCs w:val="20"/>
                        </w:rPr>
                      </w:pPr>
                      <w:r w:rsidRPr="00A42408">
                        <w:rPr>
                          <w:rFonts w:hAnsi="Calibri" w:cs="Arial"/>
                          <w:color w:val="FFFFFF"/>
                          <w:kern w:val="24"/>
                          <w:sz w:val="20"/>
                          <w:szCs w:val="20"/>
                        </w:rPr>
                        <w:t>Moyens humains</w:t>
                      </w:r>
                      <w:r>
                        <w:rPr>
                          <w:rFonts w:hAnsi="Calibri" w:cs="Arial"/>
                          <w:color w:val="FFFFFF"/>
                          <w:kern w:val="24"/>
                          <w:sz w:val="20"/>
                          <w:szCs w:val="20"/>
                        </w:rPr>
                        <w:t xml:space="preserve"> / AMO</w:t>
                      </w:r>
                    </w:p>
                  </w:txbxContent>
                </v:textbox>
              </v:rect>
            </w:pict>
          </mc:Fallback>
        </mc:AlternateContent>
      </w:r>
    </w:p>
    <w:p w14:paraId="5DAC7B69" w14:textId="77777777" w:rsidR="009B5EB2" w:rsidRDefault="009B5EB2" w:rsidP="00DB6915">
      <w:pPr>
        <w:spacing w:line="240" w:lineRule="auto"/>
        <w:jc w:val="both"/>
        <w:rPr>
          <w:rFonts w:eastAsia="Calibri"/>
          <w:color w:val="FF0000"/>
        </w:rPr>
      </w:pPr>
    </w:p>
    <w:p w14:paraId="3D074163" w14:textId="77777777" w:rsidR="009B5EB2" w:rsidRDefault="009B5EB2" w:rsidP="00DB6915">
      <w:pPr>
        <w:spacing w:line="240" w:lineRule="auto"/>
        <w:jc w:val="both"/>
        <w:rPr>
          <w:rFonts w:eastAsia="Calibri"/>
          <w:color w:val="FF0000"/>
        </w:rPr>
      </w:pPr>
    </w:p>
    <w:p w14:paraId="5A644F6D" w14:textId="25B4F2FA" w:rsidR="009B5EB2" w:rsidRDefault="00685E43" w:rsidP="00DB6915">
      <w:pPr>
        <w:spacing w:line="240" w:lineRule="auto"/>
        <w:jc w:val="both"/>
        <w:rPr>
          <w:rFonts w:eastAsia="Calibri"/>
          <w:color w:val="FF0000"/>
        </w:rPr>
      </w:pPr>
      <w:r w:rsidRPr="00A42408">
        <w:rPr>
          <w:rFonts w:eastAsia="Calibri"/>
          <w:noProof/>
          <w:lang w:eastAsia="fr-FR"/>
        </w:rPr>
        <mc:AlternateContent>
          <mc:Choice Requires="wps">
            <w:drawing>
              <wp:anchor distT="0" distB="0" distL="114300" distR="114300" simplePos="0" relativeHeight="251658250" behindDoc="0" locked="0" layoutInCell="1" allowOverlap="1" wp14:anchorId="1F2AF4B6" wp14:editId="355F12DB">
                <wp:simplePos x="0" y="0"/>
                <wp:positionH relativeFrom="margin">
                  <wp:posOffset>-253843</wp:posOffset>
                </wp:positionH>
                <wp:positionV relativeFrom="paragraph">
                  <wp:posOffset>230563</wp:posOffset>
                </wp:positionV>
                <wp:extent cx="2122415" cy="947956"/>
                <wp:effectExtent l="0" t="0" r="11430" b="17780"/>
                <wp:wrapNone/>
                <wp:docPr id="1" name="Ellipse 1"/>
                <wp:cNvGraphicFramePr/>
                <a:graphic xmlns:a="http://schemas.openxmlformats.org/drawingml/2006/main">
                  <a:graphicData uri="http://schemas.microsoft.com/office/word/2010/wordprocessingShape">
                    <wps:wsp>
                      <wps:cNvSpPr/>
                      <wps:spPr>
                        <a:xfrm>
                          <a:off x="0" y="0"/>
                          <a:ext cx="2122415" cy="947956"/>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F5D3ADA" w14:textId="79BF5664" w:rsidR="00D77DEE" w:rsidRPr="00A42408" w:rsidRDefault="00D77DEE" w:rsidP="009B5EB2">
                            <w:pPr>
                              <w:jc w:val="center"/>
                            </w:pPr>
                            <w:r>
                              <w:rPr>
                                <w:rFonts w:ascii="Calibri" w:eastAsia="Calibri" w:hAnsi="Calibri"/>
                                <w:color w:val="FFFFFF" w:themeColor="light1"/>
                                <w:kern w:val="24"/>
                              </w:rPr>
                              <w:t>Passation du Marché par le Maître d’Ouvrage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F2AF4B6" id="_x0000_s1036" style="position:absolute;left:0;text-align:left;margin-left:-20pt;margin-top:18.15pt;width:167.1pt;height:74.6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" fillcolor="#ed7d31 [3205]" strokecolor="#823b0b [1605]" strokeweight="1pt">
                <v:stroke joinstyle="miter"/>
                <v:textbox>
                  <w:txbxContent>
                    <w:p w14:paraId="3F5D3ADA" w14:textId="79BF5664" w:rsidR="00D77DEE" w:rsidRPr="00A42408" w:rsidRDefault="00D77DEE" w:rsidP="009B5EB2">
                      <w:pPr>
                        <w:jc w:val="center"/>
                      </w:pPr>
                      <w:r>
                        <w:rPr>
                          <w:rFonts w:ascii="Calibri" w:eastAsia="Calibri" w:hAnsi="Calibri"/>
                          <w:color w:val="FFFFFF" w:themeColor="light1"/>
                          <w:kern w:val="24"/>
                        </w:rPr>
                        <w:t>Passation du Marché par le Maître d’Ouvrage</w:t>
                      </w:r>
                    </w:p>
                  </w:txbxContent>
                </v:textbox>
                <w10:wrap anchorx="margin"/>
              </v:oval>
            </w:pict>
          </mc:Fallback>
        </mc:AlternateContent>
      </w:r>
      <w:r w:rsidR="009B5EB2" w:rsidRPr="002D2857">
        <w:rPr>
          <w:rFonts w:eastAsia="Calibri"/>
          <w:noProof/>
          <w:lang w:eastAsia="fr-FR"/>
        </w:rPr>
        <mc:AlternateContent>
          <mc:Choice Requires="wps">
            <w:drawing>
              <wp:anchor distT="0" distB="0" distL="114300" distR="114300" simplePos="0" relativeHeight="251658251" behindDoc="0" locked="0" layoutInCell="1" allowOverlap="1" wp14:anchorId="75448158" wp14:editId="6022F45E">
                <wp:simplePos x="0" y="0"/>
                <wp:positionH relativeFrom="column">
                  <wp:posOffset>2973705</wp:posOffset>
                </wp:positionH>
                <wp:positionV relativeFrom="paragraph">
                  <wp:posOffset>207645</wp:posOffset>
                </wp:positionV>
                <wp:extent cx="1727200" cy="419100"/>
                <wp:effectExtent l="0" t="0" r="25400" b="19050"/>
                <wp:wrapNone/>
                <wp:docPr id="5" name="Rectangle : coins arrondis 2"/>
                <wp:cNvGraphicFramePr/>
                <a:graphic xmlns:a="http://schemas.openxmlformats.org/drawingml/2006/main">
                  <a:graphicData uri="http://schemas.microsoft.com/office/word/2010/wordprocessingShape">
                    <wps:wsp>
                      <wps:cNvSpPr/>
                      <wps:spPr>
                        <a:xfrm>
                          <a:off x="0" y="0"/>
                          <a:ext cx="1727200" cy="419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F3E67A" w14:textId="77777777" w:rsidR="00D77DEE" w:rsidRPr="00A42408" w:rsidRDefault="00D77DEE" w:rsidP="009B5EB2">
                            <w:pPr>
                              <w:spacing w:line="256" w:lineRule="auto"/>
                            </w:pPr>
                            <w:r>
                              <w:rPr>
                                <w:rFonts w:ascii="Optima LT" w:eastAsia="Calibri" w:hAnsi="Optima LT"/>
                                <w:color w:val="FFFFFF" w:themeColor="background1"/>
                                <w:kern w:val="24"/>
                              </w:rPr>
                              <w:t>D</w:t>
                            </w:r>
                            <w:r w:rsidRPr="002D2857">
                              <w:rPr>
                                <w:rFonts w:ascii="Optima LT" w:eastAsia="Calibri" w:hAnsi="Optima LT"/>
                                <w:color w:val="FFFFFF" w:themeColor="background1"/>
                                <w:kern w:val="24"/>
                              </w:rPr>
                              <w:t>ialogue compétitif</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5448158" id="_x0000_s1037" style="position:absolute;left:0;text-align:left;margin-left:234.15pt;margin-top:16.35pt;width:136pt;height:3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" fillcolor="#4472c4 [3204]" strokecolor="#1f3763 [1604]" strokeweight="1pt">
                <v:stroke joinstyle="miter"/>
                <v:textbox>
                  <w:txbxContent>
                    <w:p w14:paraId="52F3E67A" w14:textId="77777777" w:rsidR="00D77DEE" w:rsidRPr="00A42408" w:rsidRDefault="00D77DEE" w:rsidP="009B5EB2">
                      <w:pPr>
                        <w:spacing w:line="256" w:lineRule="auto"/>
                      </w:pPr>
                      <w:r>
                        <w:rPr>
                          <w:rFonts w:ascii="Optima LT" w:eastAsia="Calibri" w:hAnsi="Optima LT"/>
                          <w:color w:val="FFFFFF" w:themeColor="background1"/>
                          <w:kern w:val="24"/>
                        </w:rPr>
                        <w:t>D</w:t>
                      </w:r>
                      <w:r w:rsidRPr="002D2857">
                        <w:rPr>
                          <w:rFonts w:ascii="Optima LT" w:eastAsia="Calibri" w:hAnsi="Optima LT"/>
                          <w:color w:val="FFFFFF" w:themeColor="background1"/>
                          <w:kern w:val="24"/>
                        </w:rPr>
                        <w:t>ialogue compétitif</w:t>
                      </w:r>
                    </w:p>
                  </w:txbxContent>
                </v:textbox>
              </v:roundrect>
            </w:pict>
          </mc:Fallback>
        </mc:AlternateContent>
      </w:r>
      <w:r w:rsidR="009B5EB2">
        <w:rPr>
          <w:rFonts w:eastAsia="Calibri"/>
          <w:color w:val="FF0000"/>
        </w:rPr>
        <w:t xml:space="preserve">Phase 2 : Passation du marché </w:t>
      </w:r>
    </w:p>
    <w:p w14:paraId="5547E7FB" w14:textId="15ACEAB6" w:rsidR="009B5EB2" w:rsidRDefault="009B5EB2" w:rsidP="00DB6915">
      <w:pPr>
        <w:spacing w:line="240" w:lineRule="auto"/>
        <w:jc w:val="both"/>
        <w:rPr>
          <w:rFonts w:eastAsia="Calibri"/>
          <w:color w:val="FF0000"/>
        </w:rPr>
      </w:pPr>
      <w:r>
        <w:rPr>
          <w:rFonts w:eastAsia="Calibri"/>
          <w:noProof/>
          <w:lang w:eastAsia="fr-FR"/>
        </w:rPr>
        <mc:AlternateContent>
          <mc:Choice Requires="wps">
            <w:drawing>
              <wp:anchor distT="0" distB="0" distL="114300" distR="114300" simplePos="0" relativeHeight="251658260" behindDoc="0" locked="0" layoutInCell="1" allowOverlap="1" wp14:anchorId="3805AD77" wp14:editId="4CDC769C">
                <wp:simplePos x="0" y="0"/>
                <wp:positionH relativeFrom="column">
                  <wp:posOffset>2834005</wp:posOffset>
                </wp:positionH>
                <wp:positionV relativeFrom="paragraph">
                  <wp:posOffset>213995</wp:posOffset>
                </wp:positionV>
                <wp:extent cx="76200" cy="76200"/>
                <wp:effectExtent l="0" t="0" r="19050" b="19050"/>
                <wp:wrapNone/>
                <wp:docPr id="11" name="Connecteur droit 11"/>
                <wp:cNvGraphicFramePr/>
                <a:graphic xmlns:a="http://schemas.openxmlformats.org/drawingml/2006/main">
                  <a:graphicData uri="http://schemas.microsoft.com/office/word/2010/wordprocessingShape">
                    <wps:wsp>
                      <wps:cNvCnPr/>
                      <wps:spPr>
                        <a:xfrm flipV="1">
                          <a:off x="0" y="0"/>
                          <a:ext cx="762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line id="Connecteur droit 11" style="position:absolute;flip:y;z-index:2516582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23.15pt,16.85pt" to="229.15pt,22.85pt" w14:anchorId="649B19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">
                <v:stroke joinstyle="miter"/>
              </v:line>
            </w:pict>
          </mc:Fallback>
        </mc:AlternateContent>
      </w:r>
      <w:r w:rsidRPr="002D2857">
        <w:rPr>
          <w:rFonts w:eastAsia="Calibri"/>
          <w:noProof/>
          <w:lang w:eastAsia="fr-FR"/>
        </w:rPr>
        <mc:AlternateContent>
          <mc:Choice Requires="wps">
            <w:drawing>
              <wp:anchor distT="0" distB="0" distL="114300" distR="114300" simplePos="0" relativeHeight="251658253" behindDoc="0" locked="0" layoutInCell="1" allowOverlap="1" wp14:anchorId="40BF2A58" wp14:editId="4C5D03AF">
                <wp:simplePos x="0" y="0"/>
                <wp:positionH relativeFrom="column">
                  <wp:posOffset>1684020</wp:posOffset>
                </wp:positionH>
                <wp:positionV relativeFrom="paragraph">
                  <wp:posOffset>201295</wp:posOffset>
                </wp:positionV>
                <wp:extent cx="1104900" cy="527050"/>
                <wp:effectExtent l="0" t="0" r="19050" b="25400"/>
                <wp:wrapNone/>
                <wp:docPr id="7" name="Rectangle : coins arrondis 11"/>
                <wp:cNvGraphicFramePr/>
                <a:graphic xmlns:a="http://schemas.openxmlformats.org/drawingml/2006/main">
                  <a:graphicData uri="http://schemas.microsoft.com/office/word/2010/wordprocessingShape">
                    <wps:wsp>
                      <wps:cNvSpPr/>
                      <wps:spPr>
                        <a:xfrm>
                          <a:off x="0" y="0"/>
                          <a:ext cx="1104900" cy="527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51B6DC" w14:textId="3C62435F" w:rsidR="00D77DEE" w:rsidRPr="00A42408" w:rsidRDefault="00D77DEE" w:rsidP="009B5EB2">
                            <w:pPr>
                              <w:spacing w:line="256" w:lineRule="auto"/>
                            </w:pPr>
                            <w:r>
                              <w:rPr>
                                <w:rFonts w:ascii="Optima LT" w:eastAsia="Times New Roman" w:hAnsi="Optima LT"/>
                                <w:color w:val="FFFFFF" w:themeColor="background1"/>
                                <w:kern w:val="24"/>
                              </w:rPr>
                              <w:t>Procédure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BF2A58" id="_x0000_s1038" style="position:absolute;left:0;text-align:left;margin-left:132.6pt;margin-top:15.85pt;width:87pt;height:4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" fillcolor="#4472c4 [3204]" strokecolor="#1f3763 [1604]" strokeweight="1pt">
                <v:stroke joinstyle="miter"/>
                <v:textbox>
                  <w:txbxContent>
                    <w:p w14:paraId="5F51B6DC" w14:textId="3C62435F" w:rsidR="00D77DEE" w:rsidRPr="00A42408" w:rsidRDefault="00D77DEE" w:rsidP="009B5EB2">
                      <w:pPr>
                        <w:spacing w:line="256" w:lineRule="auto"/>
                      </w:pPr>
                      <w:r>
                        <w:rPr>
                          <w:rFonts w:ascii="Optima LT" w:eastAsia="Times New Roman" w:hAnsi="Optima LT"/>
                          <w:color w:val="FFFFFF" w:themeColor="background1"/>
                          <w:kern w:val="24"/>
                        </w:rPr>
                        <w:t>Procédure</w:t>
                      </w:r>
                    </w:p>
                  </w:txbxContent>
                </v:textbox>
              </v:roundrect>
            </w:pict>
          </mc:Fallback>
        </mc:AlternateContent>
      </w:r>
    </w:p>
    <w:p w14:paraId="429B6ACA" w14:textId="77777777" w:rsidR="009B5EB2" w:rsidRDefault="009B5EB2" w:rsidP="00DB6915">
      <w:pPr>
        <w:spacing w:line="240" w:lineRule="auto"/>
        <w:jc w:val="both"/>
        <w:rPr>
          <w:rFonts w:eastAsia="Calibri"/>
          <w:color w:val="FF0000"/>
        </w:rPr>
      </w:pPr>
      <w:r>
        <w:rPr>
          <w:rFonts w:eastAsia="Calibri"/>
          <w:noProof/>
          <w:lang w:eastAsia="fr-FR"/>
        </w:rPr>
        <mc:AlternateContent>
          <mc:Choice Requires="wps">
            <w:drawing>
              <wp:anchor distT="0" distB="0" distL="114300" distR="114300" simplePos="0" relativeHeight="251658261" behindDoc="0" locked="0" layoutInCell="1" allowOverlap="1" wp14:anchorId="229C4BF9" wp14:editId="611B4A33">
                <wp:simplePos x="0" y="0"/>
                <wp:positionH relativeFrom="column">
                  <wp:posOffset>2840355</wp:posOffset>
                </wp:positionH>
                <wp:positionV relativeFrom="paragraph">
                  <wp:posOffset>226695</wp:posOffset>
                </wp:positionV>
                <wp:extent cx="88900" cy="69850"/>
                <wp:effectExtent l="0" t="0" r="25400" b="25400"/>
                <wp:wrapNone/>
                <wp:docPr id="16" name="Connecteur droit 16"/>
                <wp:cNvGraphicFramePr/>
                <a:graphic xmlns:a="http://schemas.openxmlformats.org/drawingml/2006/main">
                  <a:graphicData uri="http://schemas.microsoft.com/office/word/2010/wordprocessingShape">
                    <wps:wsp>
                      <wps:cNvCnPr/>
                      <wps:spPr>
                        <a:xfrm>
                          <a:off x="0" y="0"/>
                          <a:ext cx="88900" cy="6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rto="http://schemas.microsoft.com/office/word/2006/arto">
            <w:pict>
              <v:line id="Connecteur droit 1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23.65pt,17.85pt" to="230.65pt,23.35pt" w14:anchorId="4BDC5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">
                <v:stroke joinstyle="miter"/>
              </v:line>
            </w:pict>
          </mc:Fallback>
        </mc:AlternateContent>
      </w:r>
      <w:r w:rsidRPr="002D2857">
        <w:rPr>
          <w:rFonts w:eastAsia="Calibri"/>
          <w:noProof/>
          <w:lang w:eastAsia="fr-FR"/>
        </w:rPr>
        <mc:AlternateContent>
          <mc:Choice Requires="wps">
            <w:drawing>
              <wp:anchor distT="0" distB="0" distL="114300" distR="114300" simplePos="0" relativeHeight="251658252" behindDoc="0" locked="0" layoutInCell="1" allowOverlap="1" wp14:anchorId="6EFA6FF3" wp14:editId="18A5ACEC">
                <wp:simplePos x="0" y="0"/>
                <wp:positionH relativeFrom="column">
                  <wp:posOffset>2973705</wp:posOffset>
                </wp:positionH>
                <wp:positionV relativeFrom="paragraph">
                  <wp:posOffset>194945</wp:posOffset>
                </wp:positionV>
                <wp:extent cx="1752600" cy="717550"/>
                <wp:effectExtent l="0" t="0" r="19050" b="25400"/>
                <wp:wrapNone/>
                <wp:docPr id="6" name="Rectangle : coins arrondis 8"/>
                <wp:cNvGraphicFramePr/>
                <a:graphic xmlns:a="http://schemas.openxmlformats.org/drawingml/2006/main">
                  <a:graphicData uri="http://schemas.microsoft.com/office/word/2010/wordprocessingShape">
                    <wps:wsp>
                      <wps:cNvSpPr/>
                      <wps:spPr>
                        <a:xfrm>
                          <a:off x="0" y="0"/>
                          <a:ext cx="1752600" cy="717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7F38C1" w14:textId="20BF75E5" w:rsidR="00D77DEE" w:rsidRPr="00A42408" w:rsidRDefault="00D77DEE" w:rsidP="009B5EB2">
                            <w:pPr>
                              <w:spacing w:line="256" w:lineRule="auto"/>
                            </w:pPr>
                            <w:r>
                              <w:rPr>
                                <w:rFonts w:ascii="Optima LT" w:hAnsi="Optima LT"/>
                                <w:color w:val="FFFFFF" w:themeColor="background1"/>
                                <w:kern w:val="24"/>
                              </w:rPr>
                              <w:t>P</w:t>
                            </w:r>
                            <w:r w:rsidRPr="002D2857">
                              <w:rPr>
                                <w:rFonts w:ascii="Optima LT" w:hAnsi="Optima LT"/>
                                <w:color w:val="FFFFFF" w:themeColor="background1"/>
                                <w:kern w:val="24"/>
                              </w:rPr>
                              <w:t>rocédure avec négociation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EFA6FF3" id="_x0000_s1039" style="position:absolute;left:0;text-align:left;margin-left:234.15pt;margin-top:15.35pt;width:138pt;height:5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" fillcolor="#4472c4 [3204]" strokecolor="#1f3763 [1604]" strokeweight="1pt">
                <v:stroke joinstyle="miter"/>
                <v:textbox>
                  <w:txbxContent>
                    <w:p w14:paraId="177F38C1" w14:textId="20BF75E5" w:rsidR="00D77DEE" w:rsidRPr="00A42408" w:rsidRDefault="00D77DEE" w:rsidP="009B5EB2">
                      <w:pPr>
                        <w:spacing w:line="256" w:lineRule="auto"/>
                      </w:pPr>
                      <w:r>
                        <w:rPr>
                          <w:rFonts w:ascii="Optima LT" w:hAnsi="Optima LT"/>
                          <w:color w:val="FFFFFF" w:themeColor="background1"/>
                          <w:kern w:val="24"/>
                        </w:rPr>
                        <w:t>P</w:t>
                      </w:r>
                      <w:r w:rsidRPr="002D2857">
                        <w:rPr>
                          <w:rFonts w:ascii="Optima LT" w:hAnsi="Optima LT"/>
                          <w:color w:val="FFFFFF" w:themeColor="background1"/>
                          <w:kern w:val="24"/>
                        </w:rPr>
                        <w:t>rocédure avec négociation</w:t>
                      </w:r>
                    </w:p>
                  </w:txbxContent>
                </v:textbox>
              </v:roundrect>
            </w:pict>
          </mc:Fallback>
        </mc:AlternateContent>
      </w:r>
    </w:p>
    <w:p w14:paraId="5F5CA2B8" w14:textId="77777777" w:rsidR="009B5EB2" w:rsidRDefault="009B5EB2" w:rsidP="00DB6915">
      <w:pPr>
        <w:spacing w:line="240" w:lineRule="auto"/>
        <w:jc w:val="both"/>
        <w:rPr>
          <w:rFonts w:eastAsia="Calibri"/>
          <w:color w:val="FF0000"/>
        </w:rPr>
      </w:pPr>
    </w:p>
    <w:p w14:paraId="7FDB56CA" w14:textId="77777777" w:rsidR="009B5EB2" w:rsidRDefault="009B5EB2" w:rsidP="00DB6915">
      <w:pPr>
        <w:spacing w:line="240" w:lineRule="auto"/>
        <w:jc w:val="both"/>
        <w:rPr>
          <w:rFonts w:eastAsia="Calibri"/>
          <w:color w:val="FF0000"/>
        </w:rPr>
      </w:pPr>
      <w:r w:rsidRPr="00A42408">
        <w:rPr>
          <w:rFonts w:eastAsia="Calibri"/>
          <w:noProof/>
          <w:color w:val="FF0000"/>
          <w:lang w:eastAsia="fr-FR"/>
        </w:rPr>
        <mc:AlternateContent>
          <mc:Choice Requires="wps">
            <w:drawing>
              <wp:anchor distT="0" distB="0" distL="114300" distR="114300" simplePos="0" relativeHeight="251658254" behindDoc="0" locked="0" layoutInCell="1" allowOverlap="1" wp14:anchorId="26E7A617" wp14:editId="1FDB775B">
                <wp:simplePos x="0" y="0"/>
                <wp:positionH relativeFrom="column">
                  <wp:posOffset>179705</wp:posOffset>
                </wp:positionH>
                <wp:positionV relativeFrom="paragraph">
                  <wp:posOffset>8890</wp:posOffset>
                </wp:positionV>
                <wp:extent cx="1530350" cy="298450"/>
                <wp:effectExtent l="0" t="0" r="12700" b="25400"/>
                <wp:wrapNone/>
                <wp:docPr id="17" name="Rectangle 9"/>
                <wp:cNvGraphicFramePr/>
                <a:graphic xmlns:a="http://schemas.openxmlformats.org/drawingml/2006/main">
                  <a:graphicData uri="http://schemas.microsoft.com/office/word/2010/wordprocessingShape">
                    <wps:wsp>
                      <wps:cNvSpPr/>
                      <wps:spPr>
                        <a:xfrm>
                          <a:off x="0" y="0"/>
                          <a:ext cx="1530350" cy="29845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4E452B75" w14:textId="77777777" w:rsidR="00D77DEE" w:rsidRPr="00A42408" w:rsidRDefault="00D77DEE" w:rsidP="009B5EB2">
                            <w:pPr>
                              <w:rPr>
                                <w:sz w:val="20"/>
                                <w:szCs w:val="20"/>
                              </w:rPr>
                            </w:pPr>
                            <w:r>
                              <w:rPr>
                                <w:rFonts w:hAnsi="Calibri" w:cs="Arial"/>
                                <w:color w:val="FFFFFF"/>
                                <w:kern w:val="24"/>
                                <w:sz w:val="20"/>
                                <w:szCs w:val="20"/>
                              </w:rPr>
                              <w:t>Avec ou sans AMO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6E7A617" id="_x0000_s1040" style="position:absolute;left:0;text-align:left;margin-left:14.15pt;margin-top:.7pt;width:120.5pt;height:2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" fillcolor="#aeaaaa [2414]" strokecolor="#aeaaaa [2414]" strokeweight="1pt">
                <v:textbox>
                  <w:txbxContent>
                    <w:p w14:paraId="4E452B75" w14:textId="77777777" w:rsidR="00D77DEE" w:rsidRPr="00A42408" w:rsidRDefault="00D77DEE" w:rsidP="009B5EB2">
                      <w:pPr>
                        <w:rPr>
                          <w:sz w:val="20"/>
                          <w:szCs w:val="20"/>
                        </w:rPr>
                      </w:pPr>
                      <w:r>
                        <w:rPr>
                          <w:rFonts w:hAnsi="Calibri" w:cs="Arial"/>
                          <w:color w:val="FFFFFF"/>
                          <w:kern w:val="24"/>
                          <w:sz w:val="20"/>
                          <w:szCs w:val="20"/>
                        </w:rPr>
                        <w:t>Avec ou sans AMO</w:t>
                      </w:r>
                    </w:p>
                  </w:txbxContent>
                </v:textbox>
              </v:rect>
            </w:pict>
          </mc:Fallback>
        </mc:AlternateContent>
      </w:r>
    </w:p>
    <w:p w14:paraId="1C9D7D72" w14:textId="77777777" w:rsidR="009B5EB2" w:rsidRDefault="009B5EB2" w:rsidP="00DB6915">
      <w:pPr>
        <w:spacing w:line="240" w:lineRule="auto"/>
        <w:jc w:val="both"/>
        <w:rPr>
          <w:rFonts w:eastAsia="Calibri"/>
          <w:color w:val="FF0000"/>
        </w:rPr>
      </w:pPr>
    </w:p>
    <w:p w14:paraId="60E22DD8" w14:textId="545F8061" w:rsidR="009B5EB2" w:rsidRDefault="009B5EB2" w:rsidP="00DB6915">
      <w:pPr>
        <w:spacing w:line="240" w:lineRule="auto"/>
        <w:jc w:val="both"/>
        <w:rPr>
          <w:rFonts w:eastAsia="Calibri"/>
          <w:color w:val="FF0000"/>
        </w:rPr>
      </w:pPr>
      <w:r w:rsidRPr="002D2857">
        <w:rPr>
          <w:rFonts w:eastAsia="Calibri"/>
          <w:noProof/>
          <w:lang w:eastAsia="fr-FR"/>
        </w:rPr>
        <mc:AlternateContent>
          <mc:Choice Requires="wps">
            <w:drawing>
              <wp:anchor distT="0" distB="0" distL="114300" distR="114300" simplePos="0" relativeHeight="251658262" behindDoc="0" locked="0" layoutInCell="1" allowOverlap="1" wp14:anchorId="417E9DF9" wp14:editId="2E4C9E54">
                <wp:simplePos x="0" y="0"/>
                <wp:positionH relativeFrom="column">
                  <wp:posOffset>1869718</wp:posOffset>
                </wp:positionH>
                <wp:positionV relativeFrom="paragraph">
                  <wp:posOffset>182734</wp:posOffset>
                </wp:positionV>
                <wp:extent cx="3905021" cy="360726"/>
                <wp:effectExtent l="0" t="0" r="6985" b="7620"/>
                <wp:wrapNone/>
                <wp:docPr id="19" name="Rectangle : coins arrondis 8"/>
                <wp:cNvGraphicFramePr/>
                <a:graphic xmlns:a="http://schemas.openxmlformats.org/drawingml/2006/main">
                  <a:graphicData uri="http://schemas.microsoft.com/office/word/2010/wordprocessingShape">
                    <wps:wsp>
                      <wps:cNvSpPr/>
                      <wps:spPr>
                        <a:xfrm>
                          <a:off x="0" y="0"/>
                          <a:ext cx="3905021" cy="3607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4A0CCC" w14:textId="77C437F1" w:rsidR="00D77DEE" w:rsidRPr="00A42408" w:rsidRDefault="00D77DEE" w:rsidP="009B5EB2">
                            <w:pPr>
                              <w:spacing w:line="256" w:lineRule="auto"/>
                            </w:pPr>
                            <w:r>
                              <w:rPr>
                                <w:rFonts w:ascii="Optima LT" w:hAnsi="Optima LT"/>
                                <w:color w:val="FFFFFF" w:themeColor="background1"/>
                                <w:kern w:val="24"/>
                              </w:rPr>
                              <w:t xml:space="preserve">Réalisation des Actions de Rénovation et suivi de chantier </w:t>
                            </w:r>
                            <w:r w:rsidRPr="002D2857">
                              <w:rPr>
                                <w:rFonts w:ascii="Optima LT" w:hAnsi="Optima LT"/>
                                <w:color w:val="FFFFFF" w:themeColor="background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7E9DF9" id="_x0000_s1041" style="position:absolute;left:0;text-align:left;margin-left:147.2pt;margin-top:14.4pt;width:307.5pt;height:28.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" fillcolor="#4472c4 [3204]" strokecolor="#1f3763 [1604]" strokeweight="1pt">
                <v:stroke joinstyle="miter"/>
                <v:textbox>
                  <w:txbxContent>
                    <w:p w14:paraId="134A0CCC" w14:textId="77C437F1" w:rsidR="00D77DEE" w:rsidRPr="00A42408" w:rsidRDefault="00D77DEE" w:rsidP="009B5EB2">
                      <w:pPr>
                        <w:spacing w:line="256" w:lineRule="auto"/>
                      </w:pPr>
                      <w:r>
                        <w:rPr>
                          <w:rFonts w:ascii="Optima LT" w:hAnsi="Optima LT"/>
                          <w:color w:val="FFFFFF" w:themeColor="background1"/>
                          <w:kern w:val="24"/>
                        </w:rPr>
                        <w:t xml:space="preserve">Réalisation des Actions de Rénovation et suivi de chantier </w:t>
                      </w:r>
                      <w:r w:rsidRPr="002D2857">
                        <w:rPr>
                          <w:rFonts w:ascii="Optima LT" w:hAnsi="Optima LT"/>
                          <w:color w:val="FFFFFF" w:themeColor="background1"/>
                          <w:kern w:val="24"/>
                        </w:rPr>
                        <w:t xml:space="preserve"> </w:t>
                      </w:r>
                    </w:p>
                  </w:txbxContent>
                </v:textbox>
              </v:roundrect>
            </w:pict>
          </mc:Fallback>
        </mc:AlternateContent>
      </w:r>
      <w:r>
        <w:rPr>
          <w:rFonts w:eastAsia="Calibri"/>
          <w:color w:val="FF0000"/>
        </w:rPr>
        <w:t xml:space="preserve">Phase 3 : Mise en </w:t>
      </w:r>
      <w:r w:rsidR="00F27080">
        <w:rPr>
          <w:rFonts w:eastAsia="Calibri"/>
          <w:color w:val="FF0000"/>
        </w:rPr>
        <w:t>œuvre</w:t>
      </w:r>
      <w:r>
        <w:rPr>
          <w:rFonts w:eastAsia="Calibri"/>
          <w:color w:val="FF0000"/>
        </w:rPr>
        <w:t xml:space="preserve"> du CPE</w:t>
      </w:r>
    </w:p>
    <w:p w14:paraId="6005907B" w14:textId="77777777" w:rsidR="009B5EB2" w:rsidRDefault="009B5EB2" w:rsidP="00DB6915">
      <w:pPr>
        <w:spacing w:line="240" w:lineRule="auto"/>
        <w:jc w:val="both"/>
        <w:rPr>
          <w:rFonts w:eastAsia="Calibri"/>
          <w:color w:val="FF0000"/>
        </w:rPr>
      </w:pPr>
      <w:r w:rsidRPr="002D2857">
        <w:rPr>
          <w:rFonts w:eastAsia="Calibri"/>
          <w:noProof/>
          <w:lang w:eastAsia="fr-FR"/>
        </w:rPr>
        <mc:AlternateContent>
          <mc:Choice Requires="wps">
            <w:drawing>
              <wp:anchor distT="0" distB="0" distL="114300" distR="114300" simplePos="0" relativeHeight="251658256" behindDoc="0" locked="0" layoutInCell="1" allowOverlap="1" wp14:anchorId="7786A04A" wp14:editId="171D6ECD">
                <wp:simplePos x="0" y="0"/>
                <wp:positionH relativeFrom="column">
                  <wp:posOffset>1861185</wp:posOffset>
                </wp:positionH>
                <wp:positionV relativeFrom="paragraph">
                  <wp:posOffset>275136</wp:posOffset>
                </wp:positionV>
                <wp:extent cx="3911600" cy="296726"/>
                <wp:effectExtent l="0" t="0" r="12700" b="8255"/>
                <wp:wrapNone/>
                <wp:docPr id="20" name="Rectangle : coins arrondis 8"/>
                <wp:cNvGraphicFramePr/>
                <a:graphic xmlns:a="http://schemas.openxmlformats.org/drawingml/2006/main">
                  <a:graphicData uri="http://schemas.microsoft.com/office/word/2010/wordprocessingShape">
                    <wps:wsp>
                      <wps:cNvSpPr/>
                      <wps:spPr>
                        <a:xfrm>
                          <a:off x="0" y="0"/>
                          <a:ext cx="3911600" cy="29672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0A3E4D" w14:textId="77777777" w:rsidR="00D77DEE" w:rsidRPr="00A42408" w:rsidRDefault="00D77DEE" w:rsidP="009B5EB2">
                            <w:pPr>
                              <w:spacing w:line="256" w:lineRule="auto"/>
                            </w:pPr>
                            <w:r>
                              <w:rPr>
                                <w:rFonts w:ascii="Optima LT" w:hAnsi="Optima LT"/>
                                <w:color w:val="FFFFFF" w:themeColor="background1"/>
                                <w:kern w:val="24"/>
                              </w:rPr>
                              <w:t xml:space="preserve">Suivi et </w:t>
                            </w:r>
                            <w:r w:rsidRPr="009A1000">
                              <w:rPr>
                                <w:rFonts w:ascii="Optima LT" w:hAnsi="Optima LT"/>
                                <w:color w:val="FFFFFF" w:themeColor="background1"/>
                                <w:kern w:val="24"/>
                              </w:rPr>
                              <w:t>plan de mesure et de vérification des consommations énergétiques</w:t>
                            </w:r>
                            <w:r>
                              <w:rPr>
                                <w:rFonts w:ascii="Optima LT" w:hAnsi="Optima LT"/>
                                <w:color w:val="FFFFFF" w:themeColor="background1"/>
                                <w:kern w:val="24"/>
                              </w:rPr>
                              <w:t xml:space="preserve">énergétique </w:t>
                            </w:r>
                            <w:r w:rsidRPr="002D2857">
                              <w:rPr>
                                <w:rFonts w:ascii="Optima LT" w:hAnsi="Optima LT"/>
                                <w:color w:val="FFFFFF" w:themeColor="background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86A04A" id="_x0000_s1042" style="position:absolute;left:0;text-align:left;margin-left:146.55pt;margin-top:21.65pt;width:308pt;height:23.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" fillcolor="#4472c4 [3204]" strokecolor="#1f3763 [1604]" strokeweight="1pt">
                <v:stroke joinstyle="miter"/>
                <v:textbox>
                  <w:txbxContent>
                    <w:p w14:paraId="2B0A3E4D" w14:textId="77777777" w:rsidR="00D77DEE" w:rsidRPr="00A42408" w:rsidRDefault="00D77DEE" w:rsidP="009B5EB2">
                      <w:pPr>
                        <w:spacing w:line="256" w:lineRule="auto"/>
                      </w:pPr>
                      <w:r>
                        <w:rPr>
                          <w:rFonts w:ascii="Optima LT" w:hAnsi="Optima LT"/>
                          <w:color w:val="FFFFFF" w:themeColor="background1"/>
                          <w:kern w:val="24"/>
                        </w:rPr>
                        <w:t xml:space="preserve">Suivi et </w:t>
                      </w:r>
                      <w:r w:rsidRPr="009A1000">
                        <w:rPr>
                          <w:rFonts w:ascii="Optima LT" w:hAnsi="Optima LT"/>
                          <w:color w:val="FFFFFF" w:themeColor="background1"/>
                          <w:kern w:val="24"/>
                        </w:rPr>
                        <w:t>plan de mesure et de vérification des consommations énergétiques</w:t>
                      </w:r>
                      <w:r>
                        <w:rPr>
                          <w:rFonts w:ascii="Optima LT" w:hAnsi="Optima LT"/>
                          <w:color w:val="FFFFFF" w:themeColor="background1"/>
                          <w:kern w:val="24"/>
                        </w:rPr>
                        <w:t xml:space="preserve">énergétique </w:t>
                      </w:r>
                      <w:r w:rsidRPr="002D2857">
                        <w:rPr>
                          <w:rFonts w:ascii="Optima LT" w:hAnsi="Optima LT"/>
                          <w:color w:val="FFFFFF" w:themeColor="background1"/>
                          <w:kern w:val="24"/>
                        </w:rPr>
                        <w:t xml:space="preserve"> </w:t>
                      </w:r>
                    </w:p>
                  </w:txbxContent>
                </v:textbox>
              </v:roundrect>
            </w:pict>
          </mc:Fallback>
        </mc:AlternateContent>
      </w:r>
      <w:r w:rsidRPr="00A42408">
        <w:rPr>
          <w:rFonts w:eastAsia="Calibri"/>
          <w:noProof/>
          <w:lang w:eastAsia="fr-FR"/>
        </w:rPr>
        <mc:AlternateContent>
          <mc:Choice Requires="wps">
            <w:drawing>
              <wp:anchor distT="0" distB="0" distL="114300" distR="114300" simplePos="0" relativeHeight="251658255" behindDoc="0" locked="0" layoutInCell="1" allowOverlap="1" wp14:anchorId="1F22E5F3" wp14:editId="18DC6F0D">
                <wp:simplePos x="0" y="0"/>
                <wp:positionH relativeFrom="margin">
                  <wp:posOffset>133350</wp:posOffset>
                </wp:positionH>
                <wp:positionV relativeFrom="paragraph">
                  <wp:posOffset>12065</wp:posOffset>
                </wp:positionV>
                <wp:extent cx="1548765" cy="869950"/>
                <wp:effectExtent l="0" t="0" r="13335" b="25400"/>
                <wp:wrapNone/>
                <wp:docPr id="18" name="Ellipse 18"/>
                <wp:cNvGraphicFramePr/>
                <a:graphic xmlns:a="http://schemas.openxmlformats.org/drawingml/2006/main">
                  <a:graphicData uri="http://schemas.microsoft.com/office/word/2010/wordprocessingShape">
                    <wps:wsp>
                      <wps:cNvSpPr/>
                      <wps:spPr>
                        <a:xfrm>
                          <a:off x="0" y="0"/>
                          <a:ext cx="1548765" cy="8699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56E490" w14:textId="77777777" w:rsidR="00D77DEE" w:rsidRPr="00A42408" w:rsidRDefault="00D77DEE" w:rsidP="009B5EB2">
                            <w:pPr>
                              <w:jc w:val="center"/>
                            </w:pPr>
                            <w:r>
                              <w:rPr>
                                <w:rFonts w:ascii="Calibri" w:eastAsia="Calibri" w:hAnsi="Calibri"/>
                                <w:color w:val="FFFFFF" w:themeColor="light1"/>
                                <w:kern w:val="24"/>
                              </w:rPr>
                              <w:t xml:space="preserve">Mise en œuvre du CPE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1F22E5F3" id="Ellipse 18" o:spid="_x0000_s1043" style="position:absolute;left:0;text-align:left;margin-left:10.5pt;margin-top:.95pt;width:121.95pt;height:68.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" fillcolor="#ed7d31 [3205]" strokecolor="#823b0b [1605]" strokeweight="1pt">
                <v:stroke joinstyle="miter"/>
                <v:textbox>
                  <w:txbxContent>
                    <w:p w14:paraId="2E56E490" w14:textId="77777777" w:rsidR="00D77DEE" w:rsidRPr="00A42408" w:rsidRDefault="00D77DEE" w:rsidP="009B5EB2">
                      <w:pPr>
                        <w:jc w:val="center"/>
                      </w:pPr>
                      <w:r>
                        <w:rPr>
                          <w:rFonts w:ascii="Calibri" w:eastAsia="Calibri" w:hAnsi="Calibri"/>
                          <w:color w:val="FFFFFF" w:themeColor="light1"/>
                          <w:kern w:val="24"/>
                        </w:rPr>
                        <w:t xml:space="preserve">Mise en œuvre du CPE </w:t>
                      </w:r>
                    </w:p>
                  </w:txbxContent>
                </v:textbox>
                <w10:wrap anchorx="margin"/>
              </v:oval>
            </w:pict>
          </mc:Fallback>
        </mc:AlternateContent>
      </w:r>
    </w:p>
    <w:p w14:paraId="5084B6CB" w14:textId="15C4AA63" w:rsidR="009B5EB2" w:rsidRDefault="009B5EB2" w:rsidP="00DB6915">
      <w:pPr>
        <w:spacing w:line="240" w:lineRule="auto"/>
        <w:jc w:val="both"/>
        <w:rPr>
          <w:rFonts w:eastAsia="Calibri"/>
          <w:color w:val="FF0000"/>
        </w:rPr>
      </w:pPr>
    </w:p>
    <w:p w14:paraId="0E656A1B" w14:textId="34C951A9" w:rsidR="009B5EB2" w:rsidRDefault="001A212C" w:rsidP="00DB6915">
      <w:pPr>
        <w:spacing w:line="240" w:lineRule="auto"/>
        <w:jc w:val="both"/>
        <w:rPr>
          <w:rFonts w:eastAsia="Calibri"/>
          <w:color w:val="FF0000"/>
        </w:rPr>
      </w:pPr>
      <w:r w:rsidRPr="002D2857">
        <w:rPr>
          <w:rFonts w:eastAsia="Calibri"/>
          <w:noProof/>
          <w:lang w:eastAsia="fr-FR"/>
        </w:rPr>
        <mc:AlternateContent>
          <mc:Choice Requires="wps">
            <w:drawing>
              <wp:anchor distT="0" distB="0" distL="114300" distR="114300" simplePos="0" relativeHeight="251658263" behindDoc="0" locked="0" layoutInCell="1" allowOverlap="1" wp14:anchorId="5B9D130C" wp14:editId="66F24DA9">
                <wp:simplePos x="0" y="0"/>
                <wp:positionH relativeFrom="column">
                  <wp:posOffset>1869718</wp:posOffset>
                </wp:positionH>
                <wp:positionV relativeFrom="paragraph">
                  <wp:posOffset>24601</wp:posOffset>
                </wp:positionV>
                <wp:extent cx="3905021" cy="308837"/>
                <wp:effectExtent l="0" t="0" r="6985" b="8890"/>
                <wp:wrapNone/>
                <wp:docPr id="21" name="Rectangle : coins arrondis 8"/>
                <wp:cNvGraphicFramePr/>
                <a:graphic xmlns:a="http://schemas.openxmlformats.org/drawingml/2006/main">
                  <a:graphicData uri="http://schemas.microsoft.com/office/word/2010/wordprocessingShape">
                    <wps:wsp>
                      <wps:cNvSpPr/>
                      <wps:spPr>
                        <a:xfrm>
                          <a:off x="0" y="0"/>
                          <a:ext cx="3905021" cy="3088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02A904" w14:textId="77777777" w:rsidR="00D77DEE" w:rsidRPr="00A42408" w:rsidRDefault="00D77DEE" w:rsidP="009B5EB2">
                            <w:pPr>
                              <w:spacing w:line="256" w:lineRule="auto"/>
                            </w:pPr>
                            <w:r>
                              <w:rPr>
                                <w:rFonts w:ascii="Optima LT" w:hAnsi="Optima LT"/>
                                <w:color w:val="FFFFFF" w:themeColor="background1"/>
                                <w:kern w:val="24"/>
                              </w:rPr>
                              <w:t xml:space="preserve">Sensibilisation des personnels et des usagers </w:t>
                            </w:r>
                            <w:r w:rsidRPr="002D2857">
                              <w:rPr>
                                <w:rFonts w:ascii="Optima LT" w:hAnsi="Optima LT"/>
                                <w:color w:val="FFFFFF" w:themeColor="background1"/>
                                <w:kern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B9D130C" id="_x0000_s1044" style="position:absolute;left:0;text-align:left;margin-left:147.2pt;margin-top:1.95pt;width:307.5pt;height:24.3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" fillcolor="#4472c4 [3204]" strokecolor="#1f3763 [1604]" strokeweight="1pt">
                <v:stroke joinstyle="miter"/>
                <v:textbox>
                  <w:txbxContent>
                    <w:p w14:paraId="3702A904" w14:textId="77777777" w:rsidR="00D77DEE" w:rsidRPr="00A42408" w:rsidRDefault="00D77DEE" w:rsidP="009B5EB2">
                      <w:pPr>
                        <w:spacing w:line="256" w:lineRule="auto"/>
                      </w:pPr>
                      <w:r>
                        <w:rPr>
                          <w:rFonts w:ascii="Optima LT" w:hAnsi="Optima LT"/>
                          <w:color w:val="FFFFFF" w:themeColor="background1"/>
                          <w:kern w:val="24"/>
                        </w:rPr>
                        <w:t xml:space="preserve">Sensibilisation des personnels et des usagers </w:t>
                      </w:r>
                      <w:r w:rsidRPr="002D2857">
                        <w:rPr>
                          <w:rFonts w:ascii="Optima LT" w:hAnsi="Optima LT"/>
                          <w:color w:val="FFFFFF" w:themeColor="background1"/>
                          <w:kern w:val="24"/>
                        </w:rPr>
                        <w:t xml:space="preserve"> </w:t>
                      </w:r>
                    </w:p>
                  </w:txbxContent>
                </v:textbox>
              </v:roundrect>
            </w:pict>
          </mc:Fallback>
        </mc:AlternateContent>
      </w:r>
      <w:r w:rsidR="009B5EB2" w:rsidRPr="00A42408">
        <w:rPr>
          <w:rFonts w:eastAsia="Calibri"/>
          <w:noProof/>
          <w:color w:val="FF0000"/>
          <w:lang w:eastAsia="fr-FR"/>
        </w:rPr>
        <mc:AlternateContent>
          <mc:Choice Requires="wps">
            <w:drawing>
              <wp:anchor distT="0" distB="0" distL="114300" distR="114300" simplePos="0" relativeHeight="251658257" behindDoc="0" locked="0" layoutInCell="1" allowOverlap="1" wp14:anchorId="31009132" wp14:editId="7DCF078C">
                <wp:simplePos x="0" y="0"/>
                <wp:positionH relativeFrom="column">
                  <wp:posOffset>224155</wp:posOffset>
                </wp:positionH>
                <wp:positionV relativeFrom="paragraph">
                  <wp:posOffset>117475</wp:posOffset>
                </wp:positionV>
                <wp:extent cx="1530350" cy="298450"/>
                <wp:effectExtent l="0" t="0" r="12700" b="25400"/>
                <wp:wrapNone/>
                <wp:docPr id="26" name="Rectangle 9"/>
                <wp:cNvGraphicFramePr/>
                <a:graphic xmlns:a="http://schemas.openxmlformats.org/drawingml/2006/main">
                  <a:graphicData uri="http://schemas.microsoft.com/office/word/2010/wordprocessingShape">
                    <wps:wsp>
                      <wps:cNvSpPr/>
                      <wps:spPr>
                        <a:xfrm>
                          <a:off x="0" y="0"/>
                          <a:ext cx="1530350" cy="298450"/>
                        </a:xfrm>
                        <a:prstGeom prst="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14:paraId="28CC7641" w14:textId="77777777" w:rsidR="00D77DEE" w:rsidRPr="00A42408" w:rsidRDefault="00D77DEE" w:rsidP="009B5EB2">
                            <w:pPr>
                              <w:rPr>
                                <w:sz w:val="20"/>
                                <w:szCs w:val="20"/>
                              </w:rPr>
                            </w:pPr>
                            <w:r>
                              <w:rPr>
                                <w:rFonts w:hAnsi="Calibri" w:cs="Arial"/>
                                <w:color w:val="FFFFFF"/>
                                <w:kern w:val="24"/>
                                <w:sz w:val="20"/>
                                <w:szCs w:val="20"/>
                              </w:rPr>
                              <w:t>Avec ou sans AMO</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1009132" id="_x0000_s1045" style="position:absolute;left:0;text-align:left;margin-left:17.65pt;margin-top:9.25pt;width:120.5pt;height:2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" fillcolor="#aeaaaa [2414]" strokecolor="#aeaaaa [2414]" strokeweight="1pt">
                <v:textbox>
                  <w:txbxContent>
                    <w:p w14:paraId="28CC7641" w14:textId="77777777" w:rsidR="00D77DEE" w:rsidRPr="00A42408" w:rsidRDefault="00D77DEE" w:rsidP="009B5EB2">
                      <w:pPr>
                        <w:rPr>
                          <w:sz w:val="20"/>
                          <w:szCs w:val="20"/>
                        </w:rPr>
                      </w:pPr>
                      <w:r>
                        <w:rPr>
                          <w:rFonts w:hAnsi="Calibri" w:cs="Arial"/>
                          <w:color w:val="FFFFFF"/>
                          <w:kern w:val="24"/>
                          <w:sz w:val="20"/>
                          <w:szCs w:val="20"/>
                        </w:rPr>
                        <w:t>Avec ou sans AMO</w:t>
                      </w:r>
                    </w:p>
                  </w:txbxContent>
                </v:textbox>
              </v:rect>
            </w:pict>
          </mc:Fallback>
        </mc:AlternateContent>
      </w:r>
    </w:p>
    <w:p w14:paraId="63A457E9" w14:textId="77777777" w:rsidR="009B5EB2" w:rsidRDefault="009B5EB2" w:rsidP="00DB6915">
      <w:pPr>
        <w:spacing w:line="240" w:lineRule="auto"/>
        <w:jc w:val="both"/>
        <w:rPr>
          <w:rFonts w:eastAsia="Calibri"/>
          <w:color w:val="FF0000"/>
        </w:rPr>
      </w:pPr>
    </w:p>
    <w:p w14:paraId="32CD7823" w14:textId="77777777" w:rsidR="009B5EB2" w:rsidRDefault="009B5EB2" w:rsidP="00DB6915">
      <w:pPr>
        <w:spacing w:line="240" w:lineRule="auto"/>
        <w:jc w:val="both"/>
        <w:rPr>
          <w:rFonts w:eastAsia="Calibri"/>
          <w:color w:val="FF0000"/>
        </w:rPr>
      </w:pPr>
      <w:r>
        <w:rPr>
          <w:rFonts w:eastAsia="Calibri"/>
          <w:color w:val="FF0000"/>
        </w:rPr>
        <w:t xml:space="preserve">Phase 4 Reprise du bâtiment par le maitre d’ouvrage </w:t>
      </w:r>
    </w:p>
    <w:p w14:paraId="0F869F2C" w14:textId="77777777" w:rsidR="009B5EB2" w:rsidRDefault="009B5EB2" w:rsidP="00DB6915">
      <w:pPr>
        <w:spacing w:line="240" w:lineRule="auto"/>
        <w:jc w:val="both"/>
        <w:rPr>
          <w:rFonts w:eastAsia="Calibri"/>
          <w:color w:val="FF0000"/>
        </w:rPr>
      </w:pPr>
      <w:r w:rsidRPr="002D2857">
        <w:rPr>
          <w:rFonts w:eastAsia="Calibri"/>
          <w:noProof/>
          <w:color w:val="FF0000"/>
          <w:lang w:eastAsia="fr-FR"/>
        </w:rPr>
        <mc:AlternateContent>
          <mc:Choice Requires="wps">
            <w:drawing>
              <wp:anchor distT="0" distB="0" distL="114300" distR="114300" simplePos="0" relativeHeight="251658259" behindDoc="0" locked="0" layoutInCell="1" allowOverlap="1" wp14:anchorId="0A6184A4" wp14:editId="5A2A47F1">
                <wp:simplePos x="0" y="0"/>
                <wp:positionH relativeFrom="column">
                  <wp:posOffset>1576705</wp:posOffset>
                </wp:positionH>
                <wp:positionV relativeFrom="paragraph">
                  <wp:posOffset>219710</wp:posOffset>
                </wp:positionV>
                <wp:extent cx="2819400" cy="539750"/>
                <wp:effectExtent l="0" t="0" r="19050" b="12700"/>
                <wp:wrapNone/>
                <wp:docPr id="29" name="Rectangle : coins arrondis 8"/>
                <wp:cNvGraphicFramePr/>
                <a:graphic xmlns:a="http://schemas.openxmlformats.org/drawingml/2006/main">
                  <a:graphicData uri="http://schemas.microsoft.com/office/word/2010/wordprocessingShape">
                    <wps:wsp>
                      <wps:cNvSpPr/>
                      <wps:spPr>
                        <a:xfrm>
                          <a:off x="0" y="0"/>
                          <a:ext cx="2819400" cy="539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6462DA" w14:textId="77777777" w:rsidR="00D77DEE" w:rsidRPr="00A42408" w:rsidRDefault="00D77DEE" w:rsidP="009B5EB2">
                            <w:pPr>
                              <w:spacing w:line="256" w:lineRule="auto"/>
                            </w:pPr>
                            <w:r>
                              <w:rPr>
                                <w:rFonts w:ascii="Optima LT" w:hAnsi="Optima LT"/>
                                <w:color w:val="FFFFFF" w:themeColor="background1"/>
                                <w:kern w:val="24"/>
                              </w:rPr>
                              <w:t>Réintégration de l’exploitation et la maintenance par le maitre d’ouvrage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6184A4" id="_x0000_s1046" style="position:absolute;left:0;text-align:left;margin-left:124.15pt;margin-top:17.3pt;width:222pt;height:4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" fillcolor="#4472c4 [3204]" strokecolor="#1f3763 [1604]" strokeweight="1pt">
                <v:stroke joinstyle="miter"/>
                <v:textbox>
                  <w:txbxContent>
                    <w:p w14:paraId="4E6462DA" w14:textId="77777777" w:rsidR="00D77DEE" w:rsidRPr="00A42408" w:rsidRDefault="00D77DEE" w:rsidP="009B5EB2">
                      <w:pPr>
                        <w:spacing w:line="256" w:lineRule="auto"/>
                      </w:pPr>
                      <w:r>
                        <w:rPr>
                          <w:rFonts w:ascii="Optima LT" w:hAnsi="Optima LT"/>
                          <w:color w:val="FFFFFF" w:themeColor="background1"/>
                          <w:kern w:val="24"/>
                        </w:rPr>
                        <w:t>Réintégration de l’exploitation et la maintenance par le maitre d’ouvrage</w:t>
                      </w:r>
                    </w:p>
                  </w:txbxContent>
                </v:textbox>
              </v:roundrect>
            </w:pict>
          </mc:Fallback>
        </mc:AlternateContent>
      </w:r>
      <w:r w:rsidRPr="002D2857">
        <w:rPr>
          <w:rFonts w:eastAsia="Calibri"/>
          <w:noProof/>
          <w:color w:val="FF0000"/>
          <w:lang w:eastAsia="fr-FR"/>
        </w:rPr>
        <mc:AlternateContent>
          <mc:Choice Requires="wps">
            <w:drawing>
              <wp:anchor distT="0" distB="0" distL="114300" distR="114300" simplePos="0" relativeHeight="251658258" behindDoc="0" locked="0" layoutInCell="1" allowOverlap="1" wp14:anchorId="2316C384" wp14:editId="3B576610">
                <wp:simplePos x="0" y="0"/>
                <wp:positionH relativeFrom="margin">
                  <wp:posOffset>184150</wp:posOffset>
                </wp:positionH>
                <wp:positionV relativeFrom="paragraph">
                  <wp:posOffset>62865</wp:posOffset>
                </wp:positionV>
                <wp:extent cx="1548765" cy="869950"/>
                <wp:effectExtent l="0" t="0" r="13335" b="25400"/>
                <wp:wrapNone/>
                <wp:docPr id="27" name="Ellipse 27"/>
                <wp:cNvGraphicFramePr/>
                <a:graphic xmlns:a="http://schemas.openxmlformats.org/drawingml/2006/main">
                  <a:graphicData uri="http://schemas.microsoft.com/office/word/2010/wordprocessingShape">
                    <wps:wsp>
                      <wps:cNvSpPr/>
                      <wps:spPr>
                        <a:xfrm>
                          <a:off x="0" y="0"/>
                          <a:ext cx="1548765" cy="86995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04D39EAF" w14:textId="77777777" w:rsidR="00D77DEE" w:rsidRPr="00A42408" w:rsidRDefault="00D77DEE" w:rsidP="009B5EB2">
                            <w:pPr>
                              <w:jc w:val="center"/>
                            </w:pPr>
                            <w:r>
                              <w:rPr>
                                <w:rFonts w:ascii="Calibri" w:eastAsia="Calibri" w:hAnsi="Calibri"/>
                                <w:color w:val="FFFFFF" w:themeColor="light1"/>
                                <w:kern w:val="24"/>
                              </w:rPr>
                              <w:t xml:space="preserve">Fin du CPE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2316C384" id="Ellipse 27" o:spid="_x0000_s1047" style="position:absolute;left:0;text-align:left;margin-left:14.5pt;margin-top:4.95pt;width:121.95pt;height:68.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" fillcolor="#ed7d31 [3205]" strokecolor="#823b0b [1605]" strokeweight="1pt">
                <v:stroke joinstyle="miter"/>
                <v:textbox>
                  <w:txbxContent>
                    <w:p w14:paraId="04D39EAF" w14:textId="77777777" w:rsidR="00D77DEE" w:rsidRPr="00A42408" w:rsidRDefault="00D77DEE" w:rsidP="009B5EB2">
                      <w:pPr>
                        <w:jc w:val="center"/>
                      </w:pPr>
                      <w:r>
                        <w:rPr>
                          <w:rFonts w:ascii="Calibri" w:eastAsia="Calibri" w:hAnsi="Calibri"/>
                          <w:color w:val="FFFFFF" w:themeColor="light1"/>
                          <w:kern w:val="24"/>
                        </w:rPr>
                        <w:t xml:space="preserve">Fin du CPE </w:t>
                      </w:r>
                    </w:p>
                  </w:txbxContent>
                </v:textbox>
                <w10:wrap anchorx="margin"/>
              </v:oval>
            </w:pict>
          </mc:Fallback>
        </mc:AlternateContent>
      </w:r>
    </w:p>
    <w:p w14:paraId="3A952743" w14:textId="77777777" w:rsidR="009B5EB2" w:rsidRDefault="009B5EB2" w:rsidP="00DB6915">
      <w:pPr>
        <w:spacing w:line="240" w:lineRule="auto"/>
        <w:jc w:val="both"/>
        <w:rPr>
          <w:rFonts w:eastAsia="Calibri"/>
          <w:color w:val="FF0000"/>
        </w:rPr>
      </w:pPr>
    </w:p>
    <w:p w14:paraId="07100BBC" w14:textId="77777777" w:rsidR="009B5EB2" w:rsidRDefault="009B5EB2" w:rsidP="00DB6915">
      <w:pPr>
        <w:spacing w:line="240" w:lineRule="auto"/>
        <w:jc w:val="both"/>
        <w:rPr>
          <w:rFonts w:eastAsia="Calibri"/>
          <w:color w:val="FF0000"/>
        </w:rPr>
      </w:pPr>
    </w:p>
    <w:p w14:paraId="0D9EEF56" w14:textId="77A74183" w:rsidR="009B5EB2" w:rsidRDefault="009B5EB2" w:rsidP="00DB6915">
      <w:pPr>
        <w:spacing w:line="240" w:lineRule="auto"/>
        <w:jc w:val="both"/>
        <w:rPr>
          <w:rFonts w:eastAsia="Calibri"/>
          <w:color w:val="FF0000"/>
        </w:rPr>
      </w:pPr>
    </w:p>
    <w:p w14:paraId="25506706" w14:textId="6ECCFCA0" w:rsidR="009B5EB2" w:rsidRPr="00CB50DF" w:rsidRDefault="00CB50DF" w:rsidP="00DB6915">
      <w:pPr>
        <w:pStyle w:val="Titre1"/>
        <w:spacing w:line="240" w:lineRule="auto"/>
      </w:pPr>
      <w:r w:rsidRPr="008B571E">
        <w:lastRenderedPageBreak/>
        <w:fldChar w:fldCharType="begin"/>
      </w:r>
      <w:r w:rsidRPr="008B571E">
        <w:instrText xml:space="preserve"> AUTONUMLGL </w:instrText>
      </w:r>
      <w:bookmarkStart w:id="45" w:name="_Toc112749029"/>
      <w:r w:rsidRPr="008B571E">
        <w:fldChar w:fldCharType="end"/>
      </w:r>
      <w:r w:rsidRPr="008B571E">
        <w:t xml:space="preserve"> </w:t>
      </w:r>
      <w:r w:rsidR="009B5EB2" w:rsidRPr="00CB50DF">
        <w:t>Définir son projet</w:t>
      </w:r>
      <w:r w:rsidR="00CC4F65">
        <w:t> :</w:t>
      </w:r>
      <w:r w:rsidR="00157359">
        <w:t xml:space="preserve"> </w:t>
      </w:r>
      <w:r w:rsidR="009B5EB2" w:rsidRPr="00CB50DF">
        <w:t>de l’inventaire du patrimoine à la définition des objectifs</w:t>
      </w:r>
      <w:bookmarkEnd w:id="45"/>
    </w:p>
    <w:p w14:paraId="188D0E2D" w14:textId="147047F1" w:rsidR="009B5EB2" w:rsidRDefault="009B5EB2" w:rsidP="00DB6915">
      <w:pPr>
        <w:spacing w:line="240" w:lineRule="auto"/>
        <w:jc w:val="both"/>
        <w:rPr>
          <w:rFonts w:eastAsia="Calibri"/>
          <w:color w:val="000000" w:themeColor="text1"/>
        </w:rPr>
      </w:pPr>
      <w:r>
        <w:rPr>
          <w:rFonts w:eastAsia="Calibri"/>
          <w:color w:val="000000" w:themeColor="text1"/>
        </w:rPr>
        <w:t xml:space="preserve">La définition du projet de rénovation énergétique est une étape cruciale pour réussir la mise en œuvre opérationnelle d’un </w:t>
      </w:r>
      <w:r w:rsidR="00292081">
        <w:rPr>
          <w:rFonts w:eastAsia="Calibri"/>
          <w:color w:val="000000" w:themeColor="text1"/>
        </w:rPr>
        <w:t>CPE</w:t>
      </w:r>
      <w:r>
        <w:rPr>
          <w:rFonts w:eastAsia="Calibri"/>
          <w:color w:val="000000" w:themeColor="text1"/>
        </w:rPr>
        <w:t>. Celle-ci devra permettre de définir le périmètre et le</w:t>
      </w:r>
      <w:r w:rsidR="00292081">
        <w:rPr>
          <w:rFonts w:eastAsia="Calibri"/>
          <w:color w:val="000000" w:themeColor="text1"/>
        </w:rPr>
        <w:t xml:space="preserve"> Bouquet d’Amélioration de la Performance </w:t>
      </w:r>
      <w:r>
        <w:rPr>
          <w:rFonts w:eastAsia="Calibri"/>
          <w:color w:val="000000" w:themeColor="text1"/>
        </w:rPr>
        <w:t xml:space="preserve">à engager et fixer les objectifs de performance énergétique. </w:t>
      </w:r>
    </w:p>
    <w:p w14:paraId="76658247" w14:textId="77777777" w:rsidR="009B5EB2" w:rsidRDefault="009B5EB2" w:rsidP="00DB6915">
      <w:pPr>
        <w:spacing w:line="240" w:lineRule="auto"/>
        <w:jc w:val="both"/>
        <w:rPr>
          <w:rFonts w:eastAsia="Calibri"/>
          <w:color w:val="000000" w:themeColor="text1"/>
        </w:rPr>
      </w:pPr>
      <w:r>
        <w:rPr>
          <w:rFonts w:eastAsia="Calibri"/>
          <w:color w:val="000000" w:themeColor="text1"/>
        </w:rPr>
        <w:t xml:space="preserve">Cette étape initiale permettra aux entreprises qui vont opérer le service énergétique de bien appréhender le patrimoine sur lequel ils vont intervenir. </w:t>
      </w:r>
    </w:p>
    <w:p w14:paraId="2F43C4E5" w14:textId="36274D82" w:rsidR="009B5EB2" w:rsidRDefault="009B5EB2" w:rsidP="00DB6915">
      <w:pPr>
        <w:spacing w:line="240" w:lineRule="auto"/>
        <w:jc w:val="both"/>
        <w:rPr>
          <w:rFonts w:eastAsia="Calibri"/>
          <w:color w:val="000000" w:themeColor="text1"/>
        </w:rPr>
      </w:pPr>
      <w:r>
        <w:rPr>
          <w:rFonts w:eastAsia="Calibri"/>
          <w:color w:val="000000" w:themeColor="text1"/>
        </w:rPr>
        <w:t xml:space="preserve">Il est important d’adopter une rigueur méthodologique pour définir un </w:t>
      </w:r>
      <w:r w:rsidR="00292081">
        <w:rPr>
          <w:rFonts w:eastAsia="Calibri"/>
          <w:color w:val="000000" w:themeColor="text1"/>
        </w:rPr>
        <w:t>CPE</w:t>
      </w:r>
      <w:r>
        <w:rPr>
          <w:rFonts w:eastAsia="Calibri"/>
          <w:color w:val="000000" w:themeColor="text1"/>
        </w:rPr>
        <w:t xml:space="preserve"> au regard des engagements entre les parties. Comme dans tous le</w:t>
      </w:r>
      <w:r w:rsidR="00DF0CF8">
        <w:rPr>
          <w:rFonts w:eastAsia="Calibri"/>
          <w:color w:val="000000" w:themeColor="text1"/>
        </w:rPr>
        <w:t>s</w:t>
      </w:r>
      <w:r>
        <w:rPr>
          <w:rFonts w:eastAsia="Calibri"/>
          <w:color w:val="000000" w:themeColor="text1"/>
        </w:rPr>
        <w:t xml:space="preserve"> marchés publics, il convient à </w:t>
      </w:r>
      <w:r w:rsidR="00292081">
        <w:rPr>
          <w:rFonts w:eastAsia="Calibri"/>
          <w:color w:val="000000" w:themeColor="text1"/>
        </w:rPr>
        <w:t>l’acheteur public</w:t>
      </w:r>
      <w:r>
        <w:rPr>
          <w:rFonts w:eastAsia="Calibri"/>
          <w:color w:val="000000" w:themeColor="text1"/>
        </w:rPr>
        <w:t xml:space="preserve"> d’exprimer au mieux ses besoins au regard de ces capacités. Pour un </w:t>
      </w:r>
      <w:r w:rsidR="00292081">
        <w:rPr>
          <w:rFonts w:eastAsia="Calibri"/>
          <w:color w:val="000000" w:themeColor="text1"/>
        </w:rPr>
        <w:t>CPE</w:t>
      </w:r>
      <w:r>
        <w:rPr>
          <w:rFonts w:eastAsia="Calibri"/>
          <w:color w:val="000000" w:themeColor="text1"/>
        </w:rPr>
        <w:t>, il s’agira de diminuer les consommations d’énergie pour le patrimoine, par rapport à une situation de référence sur la base d’une méthode de mesure permettant d’évaluer et de vérifier que les objectifs ont été atteints.</w:t>
      </w:r>
    </w:p>
    <w:p w14:paraId="55E55CA2" w14:textId="160A0582" w:rsidR="009B5EB2" w:rsidRDefault="00CB50DF" w:rsidP="00DB6915">
      <w:pPr>
        <w:pStyle w:val="Titre2"/>
        <w:spacing w:line="240" w:lineRule="auto"/>
      </w:pPr>
      <w:r w:rsidRPr="008B571E">
        <w:fldChar w:fldCharType="begin"/>
      </w:r>
      <w:r w:rsidRPr="008B571E">
        <w:instrText xml:space="preserve"> AUTONUMLGL </w:instrText>
      </w:r>
      <w:bookmarkStart w:id="46" w:name="_Toc112749030"/>
      <w:r w:rsidRPr="008B571E">
        <w:fldChar w:fldCharType="end"/>
      </w:r>
      <w:r w:rsidRPr="008B571E">
        <w:t xml:space="preserve"> </w:t>
      </w:r>
      <w:proofErr w:type="spellStart"/>
      <w:r w:rsidR="009B5EB2" w:rsidRPr="00914E3F">
        <w:t>Etat</w:t>
      </w:r>
      <w:proofErr w:type="spellEnd"/>
      <w:r w:rsidR="009B5EB2" w:rsidRPr="00914E3F">
        <w:t xml:space="preserve"> des</w:t>
      </w:r>
      <w:r w:rsidR="009B5EB2">
        <w:t xml:space="preserve"> </w:t>
      </w:r>
      <w:r w:rsidR="009B5EB2" w:rsidRPr="00914E3F">
        <w:t>lieux du patrimoine</w:t>
      </w:r>
      <w:bookmarkEnd w:id="46"/>
    </w:p>
    <w:p w14:paraId="5B1F8BB7" w14:textId="1CD5405B" w:rsidR="009B5EB2" w:rsidRDefault="009B5EB2" w:rsidP="00DB6915">
      <w:pPr>
        <w:spacing w:line="240" w:lineRule="auto"/>
        <w:jc w:val="both"/>
        <w:rPr>
          <w:rFonts w:eastAsia="Calibri"/>
          <w:color w:val="000000" w:themeColor="text1"/>
        </w:rPr>
      </w:pPr>
      <w:r>
        <w:rPr>
          <w:rFonts w:eastAsia="Calibri"/>
          <w:color w:val="000000" w:themeColor="text1"/>
        </w:rPr>
        <w:t xml:space="preserve">L’objectif de cette première partie est d’analyser le patrimoine </w:t>
      </w:r>
      <w:r w:rsidR="00DF0CF8">
        <w:rPr>
          <w:rFonts w:eastAsia="Calibri"/>
          <w:color w:val="000000" w:themeColor="text1"/>
        </w:rPr>
        <w:t>du Maître d’Ouvrage</w:t>
      </w:r>
      <w:r>
        <w:rPr>
          <w:rFonts w:eastAsia="Calibri"/>
          <w:color w:val="000000" w:themeColor="text1"/>
        </w:rPr>
        <w:t xml:space="preserve"> au regard des enjeux énergétiques et organisationnels.  </w:t>
      </w:r>
    </w:p>
    <w:p w14:paraId="643FD5A7" w14:textId="3C12AB84" w:rsidR="009B5EB2" w:rsidRDefault="009B5EB2" w:rsidP="00DB6915">
      <w:pPr>
        <w:spacing w:line="240" w:lineRule="auto"/>
        <w:jc w:val="both"/>
        <w:rPr>
          <w:rFonts w:eastAsia="Calibri"/>
          <w:color w:val="000000" w:themeColor="text1"/>
        </w:rPr>
      </w:pPr>
      <w:r>
        <w:rPr>
          <w:rFonts w:eastAsia="Calibri"/>
          <w:color w:val="000000" w:themeColor="text1"/>
        </w:rPr>
        <w:t>L’analyse devra porter sur plusieurs points</w:t>
      </w:r>
      <w:r w:rsidR="00157359">
        <w:rPr>
          <w:rFonts w:eastAsia="Calibri"/>
          <w:color w:val="000000" w:themeColor="text1"/>
        </w:rPr>
        <w:t xml:space="preserve"> </w:t>
      </w:r>
      <w:r>
        <w:rPr>
          <w:rFonts w:eastAsia="Calibri"/>
          <w:color w:val="000000" w:themeColor="text1"/>
        </w:rPr>
        <w:t>(technique, documentation et organisationnel).</w:t>
      </w:r>
    </w:p>
    <w:p w14:paraId="7FF45044" w14:textId="77777777" w:rsidR="009B5EB2"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Analyse patrimoniale :</w:t>
      </w:r>
    </w:p>
    <w:p w14:paraId="5AB8306B"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Plans et coupe des bâtis,</w:t>
      </w:r>
    </w:p>
    <w:p w14:paraId="6726727A"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Système constructif et niveau d’isolation,</w:t>
      </w:r>
    </w:p>
    <w:p w14:paraId="4902AAF4"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sidRPr="003047CF">
        <w:rPr>
          <w:rFonts w:eastAsia="Calibri"/>
          <w:color w:val="000000" w:themeColor="text1"/>
        </w:rPr>
        <w:t>Surfaces utiles et bâties,</w:t>
      </w:r>
    </w:p>
    <w:p w14:paraId="06653D6B"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sidRPr="003047CF">
        <w:rPr>
          <w:rFonts w:eastAsia="Calibri"/>
          <w:color w:val="000000" w:themeColor="text1"/>
        </w:rPr>
        <w:t>Activités- effectifs</w:t>
      </w:r>
      <w:r>
        <w:rPr>
          <w:rFonts w:eastAsia="Calibri"/>
          <w:color w:val="000000" w:themeColor="text1"/>
        </w:rPr>
        <w:t>,</w:t>
      </w:r>
    </w:p>
    <w:p w14:paraId="74F1DF20"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Occupation actuelle et future.</w:t>
      </w:r>
    </w:p>
    <w:p w14:paraId="7E09C3BC" w14:textId="77777777" w:rsidR="009B5EB2"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Analyse énergétique :</w:t>
      </w:r>
    </w:p>
    <w:p w14:paraId="57A6FFE7" w14:textId="7AEA14DE" w:rsidR="009B5EB2" w:rsidRDefault="009B5EB2"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Installations techniques des bâtiments (chauffage, ventilation, climatisation)</w:t>
      </w:r>
    </w:p>
    <w:p w14:paraId="3CB41D74" w14:textId="334AB33B" w:rsidR="009B5EB2" w:rsidRDefault="00D234A4"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Éclairage</w:t>
      </w:r>
      <w:r w:rsidR="009B5EB2">
        <w:rPr>
          <w:rFonts w:eastAsia="Calibri"/>
          <w:color w:val="000000" w:themeColor="text1"/>
        </w:rPr>
        <w:t xml:space="preserve"> – ECS et autres équipement consommateur d’énergie</w:t>
      </w:r>
    </w:p>
    <w:p w14:paraId="64DAD17E" w14:textId="77777777" w:rsidR="009B5EB2" w:rsidRDefault="009B5EB2" w:rsidP="00DC27A2">
      <w:pPr>
        <w:pStyle w:val="Paragraphedeliste"/>
        <w:numPr>
          <w:ilvl w:val="0"/>
          <w:numId w:val="44"/>
        </w:numPr>
        <w:spacing w:line="240" w:lineRule="auto"/>
        <w:contextualSpacing w:val="0"/>
        <w:jc w:val="both"/>
        <w:rPr>
          <w:rFonts w:eastAsia="Calibri"/>
          <w:color w:val="000000" w:themeColor="text1"/>
        </w:rPr>
      </w:pPr>
      <w:r>
        <w:rPr>
          <w:rFonts w:eastAsia="Calibri"/>
          <w:color w:val="000000" w:themeColor="text1"/>
        </w:rPr>
        <w:t>Factures et indicateurs énergétiques (relevé de compteurs, factures, étiquette DPE…), avec a minima, 3 années de données pour les consommations énergétiques</w:t>
      </w:r>
    </w:p>
    <w:p w14:paraId="39A3AD42" w14:textId="77777777" w:rsidR="009B5EB2" w:rsidRPr="00C73A89" w:rsidRDefault="009B5EB2" w:rsidP="00DC27A2">
      <w:pPr>
        <w:pStyle w:val="Paragraphedeliste"/>
        <w:numPr>
          <w:ilvl w:val="0"/>
          <w:numId w:val="9"/>
        </w:numPr>
        <w:spacing w:line="240" w:lineRule="auto"/>
        <w:contextualSpacing w:val="0"/>
        <w:jc w:val="both"/>
        <w:rPr>
          <w:rFonts w:eastAsia="Calibri"/>
          <w:color w:val="000000" w:themeColor="text1"/>
        </w:rPr>
      </w:pPr>
      <w:r w:rsidRPr="00C73A89">
        <w:rPr>
          <w:rFonts w:eastAsia="Calibri"/>
          <w:color w:val="000000" w:themeColor="text1"/>
        </w:rPr>
        <w:t>Organisation interne pour la gestion de l’énergie</w:t>
      </w:r>
    </w:p>
    <w:p w14:paraId="573A98B0" w14:textId="77777777" w:rsidR="009B5EB2" w:rsidRPr="00C73A89" w:rsidRDefault="009B5EB2" w:rsidP="00DC27A2">
      <w:pPr>
        <w:pStyle w:val="Paragraphedeliste"/>
        <w:numPr>
          <w:ilvl w:val="0"/>
          <w:numId w:val="44"/>
        </w:numPr>
        <w:spacing w:line="240" w:lineRule="auto"/>
        <w:contextualSpacing w:val="0"/>
        <w:jc w:val="both"/>
        <w:rPr>
          <w:rFonts w:eastAsia="Calibri"/>
          <w:color w:val="000000" w:themeColor="text1"/>
        </w:rPr>
      </w:pPr>
      <w:r w:rsidRPr="00C73A89">
        <w:rPr>
          <w:rFonts w:eastAsia="Calibri"/>
          <w:color w:val="000000" w:themeColor="text1"/>
        </w:rPr>
        <w:t>Recensement des ressources internes, des outils de suivi et des outils de pilotage</w:t>
      </w:r>
    </w:p>
    <w:p w14:paraId="7E007E5C" w14:textId="77777777" w:rsidR="009B5EB2" w:rsidRPr="00C73A89" w:rsidRDefault="009B5EB2" w:rsidP="00DC27A2">
      <w:pPr>
        <w:pStyle w:val="Paragraphedeliste"/>
        <w:numPr>
          <w:ilvl w:val="0"/>
          <w:numId w:val="44"/>
        </w:numPr>
        <w:spacing w:line="240" w:lineRule="auto"/>
        <w:contextualSpacing w:val="0"/>
        <w:jc w:val="both"/>
        <w:rPr>
          <w:rFonts w:eastAsia="Calibri"/>
          <w:color w:val="000000" w:themeColor="text1"/>
        </w:rPr>
      </w:pPr>
      <w:r w:rsidRPr="00C73A89">
        <w:rPr>
          <w:rFonts w:eastAsia="Calibri"/>
          <w:color w:val="000000" w:themeColor="text1"/>
        </w:rPr>
        <w:t>Contrat d’exploitation et maintenance des ressources énergétiques</w:t>
      </w:r>
    </w:p>
    <w:p w14:paraId="73FC9B3C" w14:textId="2287ED0D" w:rsidR="009B5EB2" w:rsidRPr="00616763" w:rsidRDefault="009B5EB2" w:rsidP="00DC27A2">
      <w:pPr>
        <w:spacing w:line="240" w:lineRule="auto"/>
        <w:jc w:val="both"/>
        <w:rPr>
          <w:rFonts w:eastAsia="Calibri"/>
          <w:color w:val="000000" w:themeColor="text1"/>
        </w:rPr>
      </w:pPr>
      <w:r>
        <w:rPr>
          <w:rFonts w:eastAsia="Calibri"/>
          <w:color w:val="000000" w:themeColor="text1"/>
        </w:rPr>
        <w:t xml:space="preserve">L’objectif de cette première partie est de réaliser un premier bilan énergétique, sur la base des éléments précédent afin de disposer d’un premier état des lieux énergétiques </w:t>
      </w:r>
      <w:r w:rsidR="00FB5422">
        <w:rPr>
          <w:rFonts w:eastAsia="Calibri"/>
          <w:color w:val="000000" w:themeColor="text1"/>
        </w:rPr>
        <w:t>du Maître d’Ouvrage</w:t>
      </w:r>
      <w:r>
        <w:rPr>
          <w:rFonts w:eastAsia="Calibri"/>
          <w:color w:val="000000" w:themeColor="text1"/>
        </w:rPr>
        <w:t xml:space="preserve"> et de commencer à préciser et hiérarchiser les pistes d’actions. </w:t>
      </w:r>
    </w:p>
    <w:p w14:paraId="3CDC4AE7" w14:textId="539DE2DD" w:rsidR="009B5EB2" w:rsidRDefault="00CB50DF" w:rsidP="00DC27A2">
      <w:pPr>
        <w:pStyle w:val="Titre2"/>
        <w:spacing w:line="240" w:lineRule="auto"/>
      </w:pPr>
      <w:r w:rsidRPr="008B571E">
        <w:lastRenderedPageBreak/>
        <w:fldChar w:fldCharType="begin"/>
      </w:r>
      <w:r w:rsidRPr="008B571E">
        <w:instrText xml:space="preserve"> AUTONUMLGL </w:instrText>
      </w:r>
      <w:bookmarkStart w:id="47" w:name="_Toc112749031"/>
      <w:r w:rsidRPr="008B571E">
        <w:fldChar w:fldCharType="end"/>
      </w:r>
      <w:r w:rsidRPr="008B571E">
        <w:t xml:space="preserve"> </w:t>
      </w:r>
      <w:r w:rsidR="009B5EB2">
        <w:t>Sélectionner le ou les sites</w:t>
      </w:r>
      <w:bookmarkEnd w:id="47"/>
    </w:p>
    <w:p w14:paraId="6A324E5E" w14:textId="7DB9F392" w:rsidR="009B5EB2" w:rsidRDefault="009B5EB2" w:rsidP="00DC27A2">
      <w:pPr>
        <w:spacing w:line="240" w:lineRule="auto"/>
        <w:jc w:val="both"/>
        <w:rPr>
          <w:rFonts w:eastAsia="Calibri"/>
          <w:color w:val="000000" w:themeColor="text1"/>
        </w:rPr>
      </w:pPr>
      <w:r w:rsidRPr="00474BAF">
        <w:rPr>
          <w:rFonts w:eastAsia="Calibri"/>
          <w:color w:val="000000" w:themeColor="text1"/>
        </w:rPr>
        <w:t xml:space="preserve">Tous les sites n’ont pas les mêmes contraintes, </w:t>
      </w:r>
      <w:r w:rsidR="00A522C1">
        <w:rPr>
          <w:rFonts w:eastAsia="Calibri"/>
          <w:color w:val="000000" w:themeColor="text1"/>
        </w:rPr>
        <w:t xml:space="preserve">d’ordre </w:t>
      </w:r>
      <w:r w:rsidRPr="00474BAF">
        <w:rPr>
          <w:rFonts w:eastAsia="Calibri"/>
          <w:color w:val="000000" w:themeColor="text1"/>
        </w:rPr>
        <w:t xml:space="preserve">architectural par exemple, et le même potentiel d’amélioration énergétique. A ce stade, il convient de sélectionner le ou les bâtiments qui possèdent le meilleur bilan coût – efficacité énergétique pour la mise en œuvre du </w:t>
      </w:r>
      <w:r w:rsidR="00271147">
        <w:rPr>
          <w:rFonts w:eastAsia="Calibri"/>
          <w:color w:val="000000" w:themeColor="text1"/>
        </w:rPr>
        <w:t>CPE</w:t>
      </w:r>
      <w:r w:rsidRPr="00474BAF">
        <w:rPr>
          <w:rFonts w:eastAsia="Calibri"/>
          <w:color w:val="000000" w:themeColor="text1"/>
        </w:rPr>
        <w:t xml:space="preserve">. Il s’agit de réaliser une première sélection qui pourra être affinée lors de la réalisation des audits énergétiques dans laquelle il convient de sélectionner les bâtiments le plus énergivores. </w:t>
      </w:r>
    </w:p>
    <w:p w14:paraId="26F54CCF" w14:textId="77777777" w:rsidR="009B5EB2" w:rsidRPr="00474BAF" w:rsidRDefault="009B5EB2" w:rsidP="00DC27A2">
      <w:pPr>
        <w:spacing w:line="240" w:lineRule="auto"/>
        <w:jc w:val="both"/>
        <w:rPr>
          <w:rFonts w:eastAsia="Calibri"/>
          <w:color w:val="000000" w:themeColor="text1"/>
        </w:rPr>
      </w:pPr>
      <w:r>
        <w:rPr>
          <w:rFonts w:eastAsia="Calibri"/>
          <w:color w:val="000000" w:themeColor="text1"/>
        </w:rPr>
        <w:t xml:space="preserve">Il conviendra également de réaliser cette sélection dans le cadre des objectifs et des bâtiments ou surfaces soumis au dispositif </w:t>
      </w:r>
      <w:r w:rsidRPr="00DA4104">
        <w:t>Éco énergie tertiaire</w:t>
      </w:r>
      <w:r>
        <w:t>.</w:t>
      </w:r>
    </w:p>
    <w:p w14:paraId="2B9060D1" w14:textId="61C21E80" w:rsidR="009B5EB2" w:rsidRDefault="00CB50DF" w:rsidP="00DC27A2">
      <w:pPr>
        <w:pStyle w:val="Titre2"/>
        <w:spacing w:line="240" w:lineRule="auto"/>
      </w:pPr>
      <w:r w:rsidRPr="008B571E">
        <w:fldChar w:fldCharType="begin"/>
      </w:r>
      <w:r w:rsidRPr="008B571E">
        <w:instrText xml:space="preserve"> AUTONUMLGL </w:instrText>
      </w:r>
      <w:bookmarkStart w:id="48" w:name="_Toc112749032"/>
      <w:r w:rsidRPr="008B571E">
        <w:fldChar w:fldCharType="end"/>
      </w:r>
      <w:r w:rsidRPr="008B571E">
        <w:t xml:space="preserve"> </w:t>
      </w:r>
      <w:r w:rsidR="009B5EB2">
        <w:t>Audits énergétiques et pistes d’amélioration</w:t>
      </w:r>
      <w:bookmarkEnd w:id="48"/>
    </w:p>
    <w:p w14:paraId="5CDEED91" w14:textId="7009D18B" w:rsidR="009B5EB2" w:rsidRDefault="009B5EB2" w:rsidP="00DC27A2">
      <w:pPr>
        <w:spacing w:line="240" w:lineRule="auto"/>
        <w:jc w:val="both"/>
        <w:rPr>
          <w:i/>
          <w:iCs/>
          <w:color w:val="000000"/>
        </w:rPr>
      </w:pPr>
      <w:r>
        <w:rPr>
          <w:color w:val="000000"/>
        </w:rPr>
        <w:t xml:space="preserve">Une fois le patrimoine identifié, il est </w:t>
      </w:r>
      <w:r w:rsidR="006C3679">
        <w:rPr>
          <w:color w:val="000000"/>
        </w:rPr>
        <w:t xml:space="preserve">recommandé </w:t>
      </w:r>
      <w:r>
        <w:rPr>
          <w:color w:val="000000"/>
        </w:rPr>
        <w:t xml:space="preserve">de réaliser des diagnostics détaillés et les plus exhaustifs possibles. L'audit énergétique doit permettre, à partir d’une analyse détaillée des données des bâtiments, de dresser une proposition chiffrée et argumentée de programmes d’économie d’énergie cohérents. </w:t>
      </w:r>
    </w:p>
    <w:p w14:paraId="6F4CC3FE" w14:textId="4E730827" w:rsidR="009B5EB2" w:rsidRDefault="009B5EB2" w:rsidP="00DC27A2">
      <w:pPr>
        <w:spacing w:line="240" w:lineRule="auto"/>
        <w:jc w:val="both"/>
        <w:rPr>
          <w:color w:val="000000"/>
        </w:rPr>
      </w:pPr>
      <w:r>
        <w:rPr>
          <w:color w:val="000000"/>
        </w:rPr>
        <w:t xml:space="preserve">Sur la base du travail précédent, la dernière phase </w:t>
      </w:r>
      <w:r w:rsidR="00CB6CD4">
        <w:rPr>
          <w:color w:val="000000"/>
        </w:rPr>
        <w:t xml:space="preserve">passe </w:t>
      </w:r>
      <w:r>
        <w:rPr>
          <w:color w:val="000000"/>
        </w:rPr>
        <w:t>par la formulation de préconisations qui peuvent être techniques, organisationnelles dans le</w:t>
      </w:r>
      <w:r w:rsidR="00CB6CD4">
        <w:rPr>
          <w:color w:val="000000"/>
        </w:rPr>
        <w:t>s</w:t>
      </w:r>
      <w:r>
        <w:rPr>
          <w:color w:val="000000"/>
        </w:rPr>
        <w:t xml:space="preserve"> domaines suivants :</w:t>
      </w:r>
    </w:p>
    <w:p w14:paraId="6F07CBD3"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B</w:t>
      </w:r>
      <w:r w:rsidRPr="00221073">
        <w:rPr>
          <w:rFonts w:eastAsia="Calibri"/>
          <w:color w:val="000000" w:themeColor="text1"/>
        </w:rPr>
        <w:t>âti : amélioration de la performance de l’enveloppe, isolation, menuiseries…</w:t>
      </w:r>
    </w:p>
    <w:p w14:paraId="192354DE"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sidRPr="00221073">
        <w:rPr>
          <w:rFonts w:eastAsia="Calibri"/>
          <w:color w:val="000000" w:themeColor="text1"/>
        </w:rPr>
        <w:t>Chauffage : rénovation de l’outil de production, distribution, régulation, émetteurs,</w:t>
      </w:r>
    </w:p>
    <w:p w14:paraId="7B7B7BD2"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V</w:t>
      </w:r>
      <w:r w:rsidRPr="00221073">
        <w:rPr>
          <w:rFonts w:eastAsia="Calibri"/>
          <w:color w:val="000000" w:themeColor="text1"/>
        </w:rPr>
        <w:t>entilation</w:t>
      </w:r>
    </w:p>
    <w:p w14:paraId="4B4A29D0" w14:textId="2B7F05A4" w:rsidR="009B5EB2" w:rsidRPr="00221073" w:rsidRDefault="00D234A4"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É</w:t>
      </w:r>
      <w:r w:rsidRPr="00221073">
        <w:rPr>
          <w:rFonts w:eastAsia="Calibri"/>
          <w:color w:val="000000" w:themeColor="text1"/>
        </w:rPr>
        <w:t>quipements</w:t>
      </w:r>
      <w:r w:rsidR="009B5EB2" w:rsidRPr="00221073">
        <w:rPr>
          <w:rFonts w:eastAsia="Calibri"/>
          <w:color w:val="000000" w:themeColor="text1"/>
        </w:rPr>
        <w:t xml:space="preserve"> électriques et notamment le système d’éclairage,</w:t>
      </w:r>
    </w:p>
    <w:p w14:paraId="7732FA95"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G</w:t>
      </w:r>
      <w:r w:rsidRPr="00221073">
        <w:rPr>
          <w:rFonts w:eastAsia="Calibri"/>
          <w:color w:val="000000" w:themeColor="text1"/>
        </w:rPr>
        <w:t>estion de l’énergie : pilotage, régulation, gestion et temporisation</w:t>
      </w:r>
    </w:p>
    <w:p w14:paraId="79C42727" w14:textId="2A670D8D" w:rsidR="009B5EB2" w:rsidRPr="00221073" w:rsidRDefault="00D234A4" w:rsidP="00DC27A2">
      <w:pPr>
        <w:pStyle w:val="Paragraphedeliste"/>
        <w:numPr>
          <w:ilvl w:val="0"/>
          <w:numId w:val="9"/>
        </w:numPr>
        <w:spacing w:line="240" w:lineRule="auto"/>
        <w:contextualSpacing w:val="0"/>
        <w:jc w:val="both"/>
        <w:rPr>
          <w:color w:val="000000"/>
        </w:rPr>
      </w:pPr>
      <w:r>
        <w:rPr>
          <w:rFonts w:eastAsia="Calibri"/>
          <w:color w:val="000000" w:themeColor="text1"/>
        </w:rPr>
        <w:t>É</w:t>
      </w:r>
      <w:r w:rsidRPr="00221073">
        <w:rPr>
          <w:rFonts w:eastAsia="Calibri"/>
          <w:color w:val="000000" w:themeColor="text1"/>
        </w:rPr>
        <w:t>nergies</w:t>
      </w:r>
      <w:r w:rsidR="009B5EB2" w:rsidRPr="00221073">
        <w:rPr>
          <w:rFonts w:eastAsia="Calibri"/>
          <w:color w:val="000000" w:themeColor="text1"/>
        </w:rPr>
        <w:t xml:space="preserve"> renouvelables</w:t>
      </w:r>
    </w:p>
    <w:p w14:paraId="751EFB46" w14:textId="77777777" w:rsidR="009B5EB2" w:rsidRDefault="009B5EB2" w:rsidP="00DC27A2">
      <w:pPr>
        <w:spacing w:line="240" w:lineRule="auto"/>
        <w:jc w:val="both"/>
        <w:rPr>
          <w:color w:val="000000"/>
        </w:rPr>
      </w:pPr>
      <w:r>
        <w:rPr>
          <w:color w:val="000000"/>
        </w:rPr>
        <w:t>Afin d’aiguiller les bons choix, chacune des préconisations devra être spécifiée :</w:t>
      </w:r>
    </w:p>
    <w:p w14:paraId="409AB33A"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I</w:t>
      </w:r>
      <w:r w:rsidRPr="00221073">
        <w:rPr>
          <w:rFonts w:eastAsia="Calibri"/>
          <w:color w:val="000000" w:themeColor="text1"/>
        </w:rPr>
        <w:t>nvestissement prévisionnel,</w:t>
      </w:r>
    </w:p>
    <w:p w14:paraId="09DA8939" w14:textId="108E0521" w:rsidR="009B5EB2" w:rsidRPr="00221073" w:rsidRDefault="00D234A4"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É</w:t>
      </w:r>
      <w:r w:rsidRPr="00221073">
        <w:rPr>
          <w:rFonts w:eastAsia="Calibri"/>
          <w:color w:val="000000" w:themeColor="text1"/>
        </w:rPr>
        <w:t>conomie</w:t>
      </w:r>
      <w:r w:rsidR="009B5EB2" w:rsidRPr="00221073">
        <w:rPr>
          <w:rFonts w:eastAsia="Calibri"/>
          <w:color w:val="000000" w:themeColor="text1"/>
        </w:rPr>
        <w:t xml:space="preserve"> annuelle potentielle en termes énergétiques et économiques</w:t>
      </w:r>
    </w:p>
    <w:p w14:paraId="1FCEF852"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T</w:t>
      </w:r>
      <w:r w:rsidRPr="00221073">
        <w:rPr>
          <w:rFonts w:eastAsia="Calibri"/>
          <w:color w:val="000000" w:themeColor="text1"/>
        </w:rPr>
        <w:t>emps de retour sur investissement</w:t>
      </w:r>
    </w:p>
    <w:p w14:paraId="6219267F" w14:textId="77777777" w:rsidR="009B5EB2" w:rsidRPr="00221073" w:rsidRDefault="009B5EB2" w:rsidP="00DC27A2">
      <w:pPr>
        <w:pStyle w:val="Paragraphedeliste"/>
        <w:numPr>
          <w:ilvl w:val="0"/>
          <w:numId w:val="9"/>
        </w:numPr>
        <w:spacing w:line="240" w:lineRule="auto"/>
        <w:contextualSpacing w:val="0"/>
        <w:jc w:val="both"/>
        <w:rPr>
          <w:rFonts w:eastAsia="Calibri"/>
          <w:color w:val="000000" w:themeColor="text1"/>
        </w:rPr>
      </w:pPr>
      <w:r>
        <w:rPr>
          <w:rFonts w:eastAsia="Calibri"/>
          <w:color w:val="000000" w:themeColor="text1"/>
        </w:rPr>
        <w:t>A</w:t>
      </w:r>
      <w:r w:rsidRPr="00221073">
        <w:rPr>
          <w:rFonts w:eastAsia="Calibri"/>
          <w:color w:val="000000" w:themeColor="text1"/>
        </w:rPr>
        <w:t>ide envisageable</w:t>
      </w:r>
    </w:p>
    <w:p w14:paraId="79E6C5A0" w14:textId="77777777" w:rsidR="009B5EB2" w:rsidRPr="00221073" w:rsidRDefault="009B5EB2" w:rsidP="00DC27A2">
      <w:pPr>
        <w:pStyle w:val="Paragraphedeliste"/>
        <w:numPr>
          <w:ilvl w:val="0"/>
          <w:numId w:val="9"/>
        </w:numPr>
        <w:spacing w:line="240" w:lineRule="auto"/>
        <w:contextualSpacing w:val="0"/>
        <w:jc w:val="both"/>
        <w:rPr>
          <w:color w:val="000000"/>
        </w:rPr>
      </w:pPr>
      <w:r>
        <w:rPr>
          <w:rFonts w:eastAsia="Calibri"/>
          <w:color w:val="000000" w:themeColor="text1"/>
        </w:rPr>
        <w:t>C</w:t>
      </w:r>
      <w:r w:rsidRPr="00221073">
        <w:rPr>
          <w:rFonts w:eastAsia="Calibri"/>
          <w:color w:val="000000" w:themeColor="text1"/>
        </w:rPr>
        <w:t>lassement de l’action en fonction de sa priorité de mise en œuvre (pertinence, temps de retour, importance)</w:t>
      </w:r>
    </w:p>
    <w:p w14:paraId="06E3D4A5" w14:textId="33678CA5" w:rsidR="009B5EB2" w:rsidRPr="00616763" w:rsidRDefault="009B5EB2" w:rsidP="00DC27A2">
      <w:pPr>
        <w:spacing w:line="240" w:lineRule="auto"/>
        <w:jc w:val="both"/>
        <w:rPr>
          <w:rFonts w:eastAsia="Calibri"/>
          <w:color w:val="000000" w:themeColor="text1"/>
        </w:rPr>
      </w:pPr>
      <w:r>
        <w:rPr>
          <w:color w:val="000000"/>
        </w:rPr>
        <w:t>Les actions devront être scénarisé</w:t>
      </w:r>
      <w:r w:rsidR="00924541">
        <w:rPr>
          <w:color w:val="000000"/>
        </w:rPr>
        <w:t>es</w:t>
      </w:r>
      <w:r>
        <w:rPr>
          <w:color w:val="000000"/>
        </w:rPr>
        <w:t xml:space="preserve"> en fonction des objectifs </w:t>
      </w:r>
      <w:r w:rsidR="00271147">
        <w:rPr>
          <w:color w:val="000000"/>
        </w:rPr>
        <w:t>du Maître d’Ouvrage</w:t>
      </w:r>
      <w:r>
        <w:rPr>
          <w:color w:val="000000"/>
        </w:rPr>
        <w:t xml:space="preserve"> à l’échelle d’un bâtiment ou d’un patrimoine. </w:t>
      </w:r>
    </w:p>
    <w:p w14:paraId="6D6165F3" w14:textId="268B5EA0" w:rsidR="009B5EB2" w:rsidRDefault="00CB50DF" w:rsidP="00DC27A2">
      <w:pPr>
        <w:pStyle w:val="Titre2"/>
        <w:spacing w:line="240" w:lineRule="auto"/>
      </w:pPr>
      <w:r w:rsidRPr="008B571E">
        <w:fldChar w:fldCharType="begin"/>
      </w:r>
      <w:r w:rsidRPr="008B571E">
        <w:instrText xml:space="preserve"> AUTONUMLGL </w:instrText>
      </w:r>
      <w:bookmarkStart w:id="49" w:name="_Toc112749033"/>
      <w:r w:rsidRPr="008B571E">
        <w:fldChar w:fldCharType="end"/>
      </w:r>
      <w:r w:rsidRPr="008B571E">
        <w:t xml:space="preserve"> </w:t>
      </w:r>
      <w:r w:rsidR="009B5EB2">
        <w:t>Définir le niveau de performance à atteindre</w:t>
      </w:r>
      <w:bookmarkEnd w:id="49"/>
    </w:p>
    <w:p w14:paraId="4C911B54" w14:textId="34113FF2" w:rsidR="009B5EB2" w:rsidRDefault="009B5EB2" w:rsidP="00DC27A2">
      <w:pPr>
        <w:spacing w:line="240" w:lineRule="auto"/>
        <w:jc w:val="both"/>
        <w:rPr>
          <w:rFonts w:eastAsia="Calibri"/>
          <w:color w:val="000000" w:themeColor="text1"/>
        </w:rPr>
      </w:pPr>
      <w:r w:rsidRPr="00C85259">
        <w:rPr>
          <w:rFonts w:eastAsia="Calibri"/>
          <w:color w:val="000000" w:themeColor="text1"/>
        </w:rPr>
        <w:t xml:space="preserve">La bonne réalisation d’un CPE réside dans la capacité </w:t>
      </w:r>
      <w:r w:rsidR="00C73A89">
        <w:rPr>
          <w:rFonts w:eastAsia="Calibri"/>
          <w:color w:val="000000" w:themeColor="text1"/>
        </w:rPr>
        <w:t>des parties</w:t>
      </w:r>
      <w:r w:rsidRPr="00C85259">
        <w:rPr>
          <w:rFonts w:eastAsia="Calibri"/>
          <w:color w:val="000000" w:themeColor="text1"/>
        </w:rPr>
        <w:t xml:space="preserve"> à fixer le niveau de performance énergétique à atteindre à l’issue </w:t>
      </w:r>
      <w:r w:rsidR="00B25377" w:rsidRPr="00C85259">
        <w:rPr>
          <w:rFonts w:eastAsia="Calibri"/>
          <w:color w:val="000000" w:themeColor="text1"/>
        </w:rPr>
        <w:t>d</w:t>
      </w:r>
      <w:r w:rsidR="00F03D55" w:rsidRPr="00C85259">
        <w:rPr>
          <w:rFonts w:eastAsia="Calibri"/>
          <w:color w:val="000000" w:themeColor="text1"/>
        </w:rPr>
        <w:t>e la mise en œuvre d</w:t>
      </w:r>
      <w:r w:rsidR="00B25377" w:rsidRPr="00C85259">
        <w:rPr>
          <w:rFonts w:eastAsia="Calibri"/>
          <w:color w:val="000000" w:themeColor="text1"/>
        </w:rPr>
        <w:t>u Bouque</w:t>
      </w:r>
      <w:r w:rsidR="00F03D55" w:rsidRPr="00C85259">
        <w:rPr>
          <w:rFonts w:eastAsia="Calibri"/>
          <w:color w:val="000000" w:themeColor="text1"/>
        </w:rPr>
        <w:t>t d’Amélioration de la Performance</w:t>
      </w:r>
      <w:r w:rsidRPr="00C85259">
        <w:rPr>
          <w:rFonts w:eastAsia="Calibri"/>
          <w:color w:val="000000" w:themeColor="text1"/>
        </w:rPr>
        <w:t>. En effet, ce type de contrat vise à améliorer la performance énergétique des bâtiments à partir d’une situation de référence chiffrée qu’il s’agira d’améliorer au terme du contrat.</w:t>
      </w:r>
      <w:r>
        <w:rPr>
          <w:rFonts w:eastAsia="Calibri"/>
          <w:color w:val="000000" w:themeColor="text1"/>
        </w:rPr>
        <w:t xml:space="preserve"> </w:t>
      </w:r>
    </w:p>
    <w:p w14:paraId="75D24FB0" w14:textId="4CC05D76" w:rsidR="009B5EB2" w:rsidRPr="002B51F3" w:rsidRDefault="009B5EB2" w:rsidP="00DC27A2">
      <w:pPr>
        <w:pStyle w:val="NormalWeb"/>
        <w:shd w:val="clear" w:color="auto" w:fill="FFFFFF"/>
        <w:jc w:val="both"/>
        <w:rPr>
          <w:rFonts w:asciiTheme="minorHAnsi" w:eastAsia="Calibri" w:hAnsiTheme="minorHAnsi" w:cstheme="minorBidi"/>
          <w:color w:val="000000" w:themeColor="text1"/>
          <w:sz w:val="22"/>
          <w:szCs w:val="22"/>
          <w:lang w:eastAsia="en-US"/>
        </w:rPr>
      </w:pPr>
      <w:r w:rsidRPr="002B51F3">
        <w:rPr>
          <w:rFonts w:asciiTheme="minorHAnsi" w:eastAsia="Calibri" w:hAnsiTheme="minorHAnsi" w:cstheme="minorBidi"/>
          <w:color w:val="000000" w:themeColor="text1"/>
          <w:sz w:val="22"/>
          <w:szCs w:val="22"/>
          <w:lang w:eastAsia="en-US"/>
        </w:rPr>
        <w:t xml:space="preserve">Les performances énergétiques </w:t>
      </w:r>
      <w:r w:rsidR="00C73A89">
        <w:rPr>
          <w:rFonts w:asciiTheme="minorHAnsi" w:eastAsia="Calibri" w:hAnsiTheme="minorHAnsi" w:cstheme="minorBidi"/>
          <w:color w:val="000000" w:themeColor="text1"/>
          <w:sz w:val="22"/>
          <w:szCs w:val="22"/>
          <w:lang w:eastAsia="en-US"/>
        </w:rPr>
        <w:t>garanties</w:t>
      </w:r>
      <w:r w:rsidR="00C73A89" w:rsidRPr="002B51F3">
        <w:rPr>
          <w:rFonts w:asciiTheme="minorHAnsi" w:eastAsia="Calibri" w:hAnsiTheme="minorHAnsi" w:cstheme="minorBidi"/>
          <w:color w:val="000000" w:themeColor="text1"/>
          <w:sz w:val="22"/>
          <w:szCs w:val="22"/>
          <w:lang w:eastAsia="en-US"/>
        </w:rPr>
        <w:t xml:space="preserve"> </w:t>
      </w:r>
      <w:r w:rsidRPr="002B51F3">
        <w:rPr>
          <w:rFonts w:asciiTheme="minorHAnsi" w:eastAsia="Calibri" w:hAnsiTheme="minorHAnsi" w:cstheme="minorBidi"/>
          <w:color w:val="000000" w:themeColor="text1"/>
          <w:sz w:val="22"/>
          <w:szCs w:val="22"/>
          <w:lang w:eastAsia="en-US"/>
        </w:rPr>
        <w:t xml:space="preserve">doivent donc être préalablement fixées, et l’évolution de la situation énergétique du bâtiment devra pouvoir être mesurée pour vérifier l’efficacité </w:t>
      </w:r>
      <w:r w:rsidR="0005154E" w:rsidRPr="0005154E">
        <w:rPr>
          <w:rFonts w:asciiTheme="minorHAnsi" w:eastAsia="Calibri" w:hAnsiTheme="minorHAnsi" w:cstheme="minorBidi"/>
          <w:color w:val="000000" w:themeColor="text1"/>
          <w:sz w:val="22"/>
          <w:szCs w:val="22"/>
          <w:lang w:eastAsia="en-US"/>
        </w:rPr>
        <w:t xml:space="preserve">du Bouquet </w:t>
      </w:r>
      <w:r w:rsidR="0005154E" w:rsidRPr="0005154E">
        <w:rPr>
          <w:rFonts w:asciiTheme="minorHAnsi" w:eastAsia="Calibri" w:hAnsiTheme="minorHAnsi" w:cstheme="minorBidi"/>
          <w:color w:val="000000" w:themeColor="text1"/>
          <w:sz w:val="22"/>
          <w:szCs w:val="22"/>
          <w:lang w:eastAsia="en-US"/>
        </w:rPr>
        <w:lastRenderedPageBreak/>
        <w:t>d’Amélioration de la Performance</w:t>
      </w:r>
      <w:r w:rsidRPr="002B51F3">
        <w:rPr>
          <w:rFonts w:asciiTheme="minorHAnsi" w:eastAsia="Calibri" w:hAnsiTheme="minorHAnsi" w:cstheme="minorBidi"/>
          <w:color w:val="000000" w:themeColor="text1"/>
          <w:sz w:val="22"/>
          <w:szCs w:val="22"/>
          <w:lang w:eastAsia="en-US"/>
        </w:rPr>
        <w:t xml:space="preserve"> </w:t>
      </w:r>
      <w:r w:rsidR="00B7360B">
        <w:rPr>
          <w:rFonts w:asciiTheme="minorHAnsi" w:eastAsia="Calibri" w:hAnsiTheme="minorHAnsi" w:cstheme="minorBidi"/>
          <w:color w:val="000000" w:themeColor="text1"/>
          <w:sz w:val="22"/>
          <w:szCs w:val="22"/>
          <w:lang w:eastAsia="en-US"/>
        </w:rPr>
        <w:t xml:space="preserve">réalisé </w:t>
      </w:r>
      <w:r w:rsidRPr="002B51F3">
        <w:rPr>
          <w:rFonts w:asciiTheme="minorHAnsi" w:eastAsia="Calibri" w:hAnsiTheme="minorHAnsi" w:cstheme="minorBidi"/>
          <w:color w:val="000000" w:themeColor="text1"/>
          <w:sz w:val="22"/>
          <w:szCs w:val="22"/>
          <w:lang w:eastAsia="en-US"/>
        </w:rPr>
        <w:t xml:space="preserve">par le </w:t>
      </w:r>
      <w:r w:rsidR="00B7360B">
        <w:rPr>
          <w:rFonts w:asciiTheme="minorHAnsi" w:eastAsia="Calibri" w:hAnsiTheme="minorHAnsi" w:cstheme="minorBidi"/>
          <w:color w:val="000000" w:themeColor="text1"/>
          <w:sz w:val="22"/>
          <w:szCs w:val="22"/>
          <w:lang w:eastAsia="en-US"/>
        </w:rPr>
        <w:t>T</w:t>
      </w:r>
      <w:r w:rsidR="00B7360B" w:rsidRPr="002B51F3">
        <w:rPr>
          <w:rFonts w:asciiTheme="minorHAnsi" w:eastAsia="Calibri" w:hAnsiTheme="minorHAnsi" w:cstheme="minorBidi"/>
          <w:color w:val="000000" w:themeColor="text1"/>
          <w:sz w:val="22"/>
          <w:szCs w:val="22"/>
          <w:lang w:eastAsia="en-US"/>
        </w:rPr>
        <w:t xml:space="preserve">itulaire </w:t>
      </w:r>
      <w:r w:rsidRPr="002B51F3">
        <w:rPr>
          <w:rFonts w:asciiTheme="minorHAnsi" w:eastAsia="Calibri" w:hAnsiTheme="minorHAnsi" w:cstheme="minorBidi"/>
          <w:color w:val="000000" w:themeColor="text1"/>
          <w:sz w:val="22"/>
          <w:szCs w:val="22"/>
          <w:lang w:eastAsia="en-US"/>
        </w:rPr>
        <w:t xml:space="preserve">du </w:t>
      </w:r>
      <w:r w:rsidR="00B7360B">
        <w:rPr>
          <w:rFonts w:asciiTheme="minorHAnsi" w:eastAsia="Calibri" w:hAnsiTheme="minorHAnsi" w:cstheme="minorBidi"/>
          <w:color w:val="000000" w:themeColor="text1"/>
          <w:sz w:val="22"/>
          <w:szCs w:val="22"/>
          <w:lang w:eastAsia="en-US"/>
        </w:rPr>
        <w:t>M</w:t>
      </w:r>
      <w:r w:rsidR="00B7360B" w:rsidRPr="002B51F3">
        <w:rPr>
          <w:rFonts w:asciiTheme="minorHAnsi" w:eastAsia="Calibri" w:hAnsiTheme="minorHAnsi" w:cstheme="minorBidi"/>
          <w:color w:val="000000" w:themeColor="text1"/>
          <w:sz w:val="22"/>
          <w:szCs w:val="22"/>
          <w:lang w:eastAsia="en-US"/>
        </w:rPr>
        <w:t>arché</w:t>
      </w:r>
      <w:r w:rsidRPr="002B51F3">
        <w:rPr>
          <w:rFonts w:asciiTheme="minorHAnsi" w:eastAsia="Calibri" w:hAnsiTheme="minorHAnsi" w:cstheme="minorBidi"/>
          <w:color w:val="000000" w:themeColor="text1"/>
          <w:sz w:val="22"/>
          <w:szCs w:val="22"/>
          <w:lang w:eastAsia="en-US"/>
        </w:rPr>
        <w:t>. En cas de non atteinte des niveaux de performances</w:t>
      </w:r>
      <w:r w:rsidR="00C85259">
        <w:rPr>
          <w:rFonts w:asciiTheme="minorHAnsi" w:eastAsia="Calibri" w:hAnsiTheme="minorHAnsi" w:cstheme="minorBidi"/>
          <w:color w:val="000000" w:themeColor="text1"/>
          <w:sz w:val="22"/>
          <w:szCs w:val="22"/>
          <w:lang w:eastAsia="en-US"/>
        </w:rPr>
        <w:t xml:space="preserve"> garanties</w:t>
      </w:r>
      <w:r w:rsidRPr="002B51F3">
        <w:rPr>
          <w:rFonts w:asciiTheme="minorHAnsi" w:eastAsia="Calibri" w:hAnsiTheme="minorHAnsi" w:cstheme="minorBidi"/>
          <w:color w:val="000000" w:themeColor="text1"/>
          <w:sz w:val="22"/>
          <w:szCs w:val="22"/>
          <w:lang w:eastAsia="en-US"/>
        </w:rPr>
        <w:t xml:space="preserve">, des </w:t>
      </w:r>
      <w:r w:rsidR="0005154E">
        <w:rPr>
          <w:rFonts w:asciiTheme="minorHAnsi" w:eastAsia="Calibri" w:hAnsiTheme="minorHAnsi" w:cstheme="minorBidi"/>
          <w:color w:val="000000" w:themeColor="text1"/>
          <w:sz w:val="22"/>
          <w:szCs w:val="22"/>
          <w:lang w:eastAsia="en-US"/>
        </w:rPr>
        <w:t xml:space="preserve">indemnités seront </w:t>
      </w:r>
      <w:r w:rsidRPr="002B51F3">
        <w:rPr>
          <w:rFonts w:asciiTheme="minorHAnsi" w:eastAsia="Calibri" w:hAnsiTheme="minorHAnsi" w:cstheme="minorBidi"/>
          <w:color w:val="000000" w:themeColor="text1"/>
          <w:sz w:val="22"/>
          <w:szCs w:val="22"/>
          <w:lang w:eastAsia="en-US"/>
        </w:rPr>
        <w:t xml:space="preserve">appliquées au </w:t>
      </w:r>
      <w:r w:rsidR="00C85259">
        <w:rPr>
          <w:rFonts w:asciiTheme="minorHAnsi" w:eastAsia="Calibri" w:hAnsiTheme="minorHAnsi" w:cstheme="minorBidi"/>
          <w:color w:val="000000" w:themeColor="text1"/>
          <w:sz w:val="22"/>
          <w:szCs w:val="22"/>
          <w:lang w:eastAsia="en-US"/>
        </w:rPr>
        <w:t>T</w:t>
      </w:r>
      <w:r w:rsidR="00C85259" w:rsidRPr="002B51F3">
        <w:rPr>
          <w:rFonts w:asciiTheme="minorHAnsi" w:eastAsia="Calibri" w:hAnsiTheme="minorHAnsi" w:cstheme="minorBidi"/>
          <w:color w:val="000000" w:themeColor="text1"/>
          <w:sz w:val="22"/>
          <w:szCs w:val="22"/>
          <w:lang w:eastAsia="en-US"/>
        </w:rPr>
        <w:t>itulaire</w:t>
      </w:r>
      <w:r w:rsidR="00C85259">
        <w:rPr>
          <w:rFonts w:asciiTheme="minorHAnsi" w:eastAsia="Calibri" w:hAnsiTheme="minorHAnsi" w:cstheme="minorBidi"/>
          <w:color w:val="000000" w:themeColor="text1"/>
          <w:sz w:val="22"/>
          <w:szCs w:val="22"/>
          <w:lang w:eastAsia="en-US"/>
        </w:rPr>
        <w:t xml:space="preserve"> </w:t>
      </w:r>
      <w:r w:rsidR="00CD309D">
        <w:rPr>
          <w:rFonts w:asciiTheme="minorHAnsi" w:eastAsia="Calibri" w:hAnsiTheme="minorHAnsi" w:cstheme="minorBidi"/>
          <w:color w:val="000000" w:themeColor="text1"/>
          <w:sz w:val="22"/>
          <w:szCs w:val="22"/>
          <w:lang w:eastAsia="en-US"/>
        </w:rPr>
        <w:t xml:space="preserve">par la mise en jeu de la Garantie de Performance </w:t>
      </w:r>
      <w:r w:rsidR="00D234A4">
        <w:rPr>
          <w:rFonts w:asciiTheme="minorHAnsi" w:eastAsia="Calibri" w:hAnsiTheme="minorHAnsi" w:cstheme="minorBidi"/>
          <w:color w:val="000000" w:themeColor="text1"/>
          <w:sz w:val="22"/>
          <w:szCs w:val="22"/>
          <w:lang w:eastAsia="en-US"/>
        </w:rPr>
        <w:t>Énergétique</w:t>
      </w:r>
      <w:r w:rsidRPr="002B51F3">
        <w:rPr>
          <w:rFonts w:asciiTheme="minorHAnsi" w:eastAsia="Calibri" w:hAnsiTheme="minorHAnsi" w:cstheme="minorBidi"/>
          <w:color w:val="000000" w:themeColor="text1"/>
          <w:sz w:val="22"/>
          <w:szCs w:val="22"/>
          <w:lang w:eastAsia="en-US"/>
        </w:rPr>
        <w:t xml:space="preserve">. </w:t>
      </w:r>
    </w:p>
    <w:p w14:paraId="2047FB8A" w14:textId="3BB986AE" w:rsidR="009B5EB2" w:rsidRDefault="009B5EB2" w:rsidP="00DC27A2">
      <w:pPr>
        <w:spacing w:line="240" w:lineRule="auto"/>
        <w:jc w:val="both"/>
      </w:pPr>
      <w:r w:rsidRPr="00C73A89">
        <w:t xml:space="preserve">La </w:t>
      </w:r>
      <w:r w:rsidR="00D35C60" w:rsidRPr="00C73A89">
        <w:t xml:space="preserve">Garantie </w:t>
      </w:r>
      <w:r w:rsidRPr="00C73A89">
        <w:t xml:space="preserve">de </w:t>
      </w:r>
      <w:r w:rsidR="00D35C60" w:rsidRPr="00C73A89">
        <w:t xml:space="preserve">Performance </w:t>
      </w:r>
      <w:r w:rsidR="00E903BD" w:rsidRPr="00C73A89">
        <w:t>Énergétique</w:t>
      </w:r>
      <w:r w:rsidR="00D35C60" w:rsidRPr="00C73A89">
        <w:t xml:space="preserve"> </w:t>
      </w:r>
      <w:r w:rsidRPr="00C73A89">
        <w:t xml:space="preserve">doit donc être déterminée de manière précise et claire, afin d’optimiser les résultats </w:t>
      </w:r>
      <w:r w:rsidR="0005154E" w:rsidRPr="00C73A89">
        <w:t>du Bouquet d’Amélioration de la Performance</w:t>
      </w:r>
      <w:r w:rsidRPr="00C73A89">
        <w:t>.</w:t>
      </w:r>
      <w:r>
        <w:t xml:space="preserve"> </w:t>
      </w:r>
    </w:p>
    <w:p w14:paraId="0489A67E" w14:textId="77777777" w:rsidR="009B5EB2" w:rsidRPr="002B51F3" w:rsidRDefault="009B5EB2" w:rsidP="00DC27A2">
      <w:pPr>
        <w:spacing w:line="240" w:lineRule="auto"/>
        <w:jc w:val="both"/>
      </w:pPr>
      <w:r>
        <w:t>Plusieurs éléments sont essentiels pour bien définir le niveau de performance contractuellement garanti :</w:t>
      </w:r>
    </w:p>
    <w:p w14:paraId="2FC4DC95" w14:textId="6DD10DDE" w:rsidR="009B5EB2" w:rsidRPr="002B51F3" w:rsidRDefault="009B5EB2" w:rsidP="00A9634D">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 xml:space="preserve">L’engagement du </w:t>
      </w:r>
      <w:r w:rsidR="00330086">
        <w:rPr>
          <w:rFonts w:eastAsia="Calibri"/>
          <w:color w:val="000000" w:themeColor="text1"/>
        </w:rPr>
        <w:t xml:space="preserve">Titulaire </w:t>
      </w:r>
      <w:r>
        <w:rPr>
          <w:rFonts w:eastAsia="Calibri"/>
          <w:color w:val="000000" w:themeColor="text1"/>
        </w:rPr>
        <w:t xml:space="preserve">du </w:t>
      </w:r>
      <w:r w:rsidR="00330086">
        <w:rPr>
          <w:rFonts w:eastAsia="Calibri"/>
          <w:color w:val="000000" w:themeColor="text1"/>
        </w:rPr>
        <w:t xml:space="preserve">Marché </w:t>
      </w:r>
      <w:r>
        <w:rPr>
          <w:rFonts w:eastAsia="Calibri"/>
          <w:color w:val="000000" w:themeColor="text1"/>
        </w:rPr>
        <w:t>auprès du Maître d’ouvrage représente un pourcentage</w:t>
      </w:r>
      <w:r w:rsidR="005175D2">
        <w:rPr>
          <w:rFonts w:eastAsia="Calibri"/>
          <w:color w:val="000000" w:themeColor="text1"/>
        </w:rPr>
        <w:t xml:space="preserve"> d’amélioration</w:t>
      </w:r>
      <w:r>
        <w:rPr>
          <w:rFonts w:eastAsia="Calibri"/>
          <w:color w:val="000000" w:themeColor="text1"/>
        </w:rPr>
        <w:t xml:space="preserve">, en comparaison avec une </w:t>
      </w:r>
      <w:r w:rsidR="00C85259">
        <w:rPr>
          <w:rFonts w:eastAsia="Calibri"/>
          <w:color w:val="000000" w:themeColor="text1"/>
        </w:rPr>
        <w:t xml:space="preserve">Situation </w:t>
      </w:r>
      <w:r>
        <w:rPr>
          <w:rFonts w:eastAsia="Calibri"/>
          <w:color w:val="000000" w:themeColor="text1"/>
        </w:rPr>
        <w:t xml:space="preserve">de </w:t>
      </w:r>
      <w:r w:rsidR="00C85259">
        <w:rPr>
          <w:rFonts w:eastAsia="Calibri"/>
          <w:color w:val="000000" w:themeColor="text1"/>
        </w:rPr>
        <w:t>Référence</w:t>
      </w:r>
      <w:r>
        <w:rPr>
          <w:rFonts w:eastAsia="Calibri"/>
          <w:color w:val="000000" w:themeColor="text1"/>
        </w:rPr>
        <w:t xml:space="preserve">. La </w:t>
      </w:r>
      <w:r w:rsidR="00C85259">
        <w:rPr>
          <w:rFonts w:eastAsia="Calibri"/>
          <w:color w:val="000000" w:themeColor="text1"/>
        </w:rPr>
        <w:t xml:space="preserve">Garantie </w:t>
      </w:r>
      <w:r>
        <w:rPr>
          <w:rFonts w:eastAsia="Calibri"/>
          <w:color w:val="000000" w:themeColor="text1"/>
        </w:rPr>
        <w:t xml:space="preserve">de </w:t>
      </w:r>
      <w:r w:rsidR="00C85259">
        <w:rPr>
          <w:rFonts w:eastAsia="Calibri"/>
          <w:color w:val="000000" w:themeColor="text1"/>
        </w:rPr>
        <w:t xml:space="preserve">Performance </w:t>
      </w:r>
      <w:r w:rsidR="002C6FBB">
        <w:rPr>
          <w:rFonts w:eastAsia="Calibri"/>
          <w:color w:val="000000" w:themeColor="text1"/>
        </w:rPr>
        <w:t>Énergétique</w:t>
      </w:r>
      <w:r w:rsidR="00C85259">
        <w:rPr>
          <w:rFonts w:eastAsia="Calibri"/>
          <w:color w:val="000000" w:themeColor="text1"/>
        </w:rPr>
        <w:t xml:space="preserve"> </w:t>
      </w:r>
      <w:r>
        <w:rPr>
          <w:rFonts w:eastAsia="Calibri"/>
          <w:color w:val="000000" w:themeColor="text1"/>
        </w:rPr>
        <w:t xml:space="preserve">est donc relative, et mesurable par rapport à la situation initiale des bâtiments (usage du bâtiment, environnement climatique…). </w:t>
      </w:r>
      <w:r w:rsidRPr="002F17E6">
        <w:rPr>
          <w:rFonts w:eastAsia="Calibri"/>
          <w:color w:val="000000" w:themeColor="text1"/>
        </w:rPr>
        <w:t xml:space="preserve">La </w:t>
      </w:r>
      <w:r w:rsidR="005B6FAF">
        <w:rPr>
          <w:rFonts w:eastAsia="Calibri"/>
          <w:color w:val="000000" w:themeColor="text1"/>
        </w:rPr>
        <w:t>S</w:t>
      </w:r>
      <w:r w:rsidRPr="002F17E6">
        <w:rPr>
          <w:rFonts w:eastAsia="Calibri"/>
          <w:color w:val="000000" w:themeColor="text1"/>
        </w:rPr>
        <w:t xml:space="preserve">ituation de </w:t>
      </w:r>
      <w:r w:rsidR="005B6FAF">
        <w:rPr>
          <w:rFonts w:eastAsia="Calibri"/>
          <w:color w:val="000000" w:themeColor="text1"/>
        </w:rPr>
        <w:t>R</w:t>
      </w:r>
      <w:r w:rsidR="005B6FAF" w:rsidRPr="002F17E6">
        <w:rPr>
          <w:rFonts w:eastAsia="Calibri"/>
          <w:color w:val="000000" w:themeColor="text1"/>
        </w:rPr>
        <w:t>éférence d</w:t>
      </w:r>
      <w:r w:rsidR="005B6FAF">
        <w:rPr>
          <w:rFonts w:eastAsia="Calibri"/>
          <w:color w:val="000000" w:themeColor="text1"/>
        </w:rPr>
        <w:t>u</w:t>
      </w:r>
      <w:r w:rsidR="005B6FAF" w:rsidRPr="002F17E6">
        <w:rPr>
          <w:rFonts w:eastAsia="Calibri"/>
          <w:color w:val="000000" w:themeColor="text1"/>
        </w:rPr>
        <w:t xml:space="preserve"> </w:t>
      </w:r>
      <w:r w:rsidRPr="002F17E6">
        <w:rPr>
          <w:rFonts w:eastAsia="Calibri"/>
          <w:color w:val="000000" w:themeColor="text1"/>
        </w:rPr>
        <w:t xml:space="preserve">bâtiment, basée sur les mesures antérieures au CPE permettra ensuite de vérifier l’atteinte des objectifs. </w:t>
      </w:r>
    </w:p>
    <w:p w14:paraId="297669DB" w14:textId="74B69970" w:rsidR="009B5EB2" w:rsidRPr="002B51F3" w:rsidRDefault="009B5EB2" w:rsidP="00A9634D">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 xml:space="preserve">Pour définir une </w:t>
      </w:r>
      <w:r w:rsidR="00AF405A">
        <w:rPr>
          <w:rFonts w:eastAsia="Calibri"/>
          <w:color w:val="000000" w:themeColor="text1"/>
        </w:rPr>
        <w:t xml:space="preserve">Situation </w:t>
      </w:r>
      <w:r>
        <w:rPr>
          <w:rFonts w:eastAsia="Calibri"/>
          <w:color w:val="000000" w:themeColor="text1"/>
        </w:rPr>
        <w:t xml:space="preserve">de </w:t>
      </w:r>
      <w:r w:rsidR="00AF405A">
        <w:rPr>
          <w:rFonts w:eastAsia="Calibri"/>
          <w:color w:val="000000" w:themeColor="text1"/>
        </w:rPr>
        <w:t xml:space="preserve">Référence </w:t>
      </w:r>
      <w:r>
        <w:rPr>
          <w:rFonts w:eastAsia="Calibri"/>
          <w:color w:val="000000" w:themeColor="text1"/>
        </w:rPr>
        <w:t>la plus pertinente possible, i</w:t>
      </w:r>
      <w:r w:rsidRPr="002B51F3">
        <w:rPr>
          <w:rFonts w:eastAsia="Calibri"/>
          <w:color w:val="000000" w:themeColor="text1"/>
        </w:rPr>
        <w:t>l est donc essentiel de tenir compte de l’utilisation réelle du bâtiment</w:t>
      </w:r>
      <w:r>
        <w:rPr>
          <w:rFonts w:eastAsia="Calibri"/>
          <w:color w:val="000000" w:themeColor="text1"/>
        </w:rPr>
        <w:t xml:space="preserve">. </w:t>
      </w:r>
      <w:r w:rsidRPr="002B51F3">
        <w:rPr>
          <w:rFonts w:eastAsia="Calibri"/>
          <w:color w:val="000000" w:themeColor="text1"/>
        </w:rPr>
        <w:t>L</w:t>
      </w:r>
      <w:r>
        <w:rPr>
          <w:rFonts w:eastAsia="Calibri"/>
          <w:color w:val="000000" w:themeColor="text1"/>
        </w:rPr>
        <w:t xml:space="preserve">e </w:t>
      </w:r>
      <w:r w:rsidR="00AF405A">
        <w:rPr>
          <w:rFonts w:eastAsia="Calibri"/>
          <w:color w:val="000000" w:themeColor="text1"/>
        </w:rPr>
        <w:t xml:space="preserve">Maître d’Ouvrage </w:t>
      </w:r>
      <w:r>
        <w:rPr>
          <w:rFonts w:eastAsia="Calibri"/>
          <w:color w:val="000000" w:themeColor="text1"/>
        </w:rPr>
        <w:t xml:space="preserve">pourra faire appel à un AMO pour réaliser le calcul </w:t>
      </w:r>
      <w:r w:rsidRPr="002B51F3">
        <w:rPr>
          <w:rFonts w:eastAsia="Calibri"/>
          <w:color w:val="000000" w:themeColor="text1"/>
        </w:rPr>
        <w:t xml:space="preserve">des consommations de la </w:t>
      </w:r>
      <w:r w:rsidR="00AF405A">
        <w:rPr>
          <w:rFonts w:eastAsia="Calibri"/>
          <w:color w:val="000000" w:themeColor="text1"/>
        </w:rPr>
        <w:t>S</w:t>
      </w:r>
      <w:r w:rsidR="00AF405A" w:rsidRPr="002B51F3">
        <w:rPr>
          <w:rFonts w:eastAsia="Calibri"/>
          <w:color w:val="000000" w:themeColor="text1"/>
        </w:rPr>
        <w:t xml:space="preserve">ituation </w:t>
      </w:r>
      <w:r w:rsidRPr="002B51F3">
        <w:rPr>
          <w:rFonts w:eastAsia="Calibri"/>
          <w:color w:val="000000" w:themeColor="text1"/>
        </w:rPr>
        <w:t xml:space="preserve">de </w:t>
      </w:r>
      <w:r w:rsidR="00AF405A">
        <w:rPr>
          <w:rFonts w:eastAsia="Calibri"/>
          <w:color w:val="000000" w:themeColor="text1"/>
        </w:rPr>
        <w:t>R</w:t>
      </w:r>
      <w:r w:rsidR="00AF405A" w:rsidRPr="002B51F3">
        <w:rPr>
          <w:rFonts w:eastAsia="Calibri"/>
          <w:color w:val="000000" w:themeColor="text1"/>
        </w:rPr>
        <w:t>éférence</w:t>
      </w:r>
      <w:r>
        <w:rPr>
          <w:rFonts w:eastAsia="Calibri"/>
          <w:color w:val="000000" w:themeColor="text1"/>
        </w:rPr>
        <w:t xml:space="preserve">. </w:t>
      </w:r>
      <w:r w:rsidRPr="002B51F3">
        <w:rPr>
          <w:rFonts w:eastAsia="Calibri"/>
          <w:color w:val="000000" w:themeColor="text1"/>
        </w:rPr>
        <w:t xml:space="preserve"> </w:t>
      </w:r>
    </w:p>
    <w:p w14:paraId="1195B61C" w14:textId="4E27C48E" w:rsidR="009B5EB2" w:rsidRDefault="009B5EB2" w:rsidP="00A9634D">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 xml:space="preserve">En outre, une fois la </w:t>
      </w:r>
      <w:r w:rsidR="00AF405A">
        <w:rPr>
          <w:rFonts w:eastAsia="Calibri"/>
          <w:color w:val="000000" w:themeColor="text1"/>
        </w:rPr>
        <w:t xml:space="preserve">Situation </w:t>
      </w:r>
      <w:r>
        <w:rPr>
          <w:rFonts w:eastAsia="Calibri"/>
          <w:color w:val="000000" w:themeColor="text1"/>
        </w:rPr>
        <w:t xml:space="preserve">de </w:t>
      </w:r>
      <w:r w:rsidR="00AF405A">
        <w:rPr>
          <w:rFonts w:eastAsia="Calibri"/>
          <w:color w:val="000000" w:themeColor="text1"/>
        </w:rPr>
        <w:t xml:space="preserve">Référence </w:t>
      </w:r>
      <w:r>
        <w:rPr>
          <w:rFonts w:eastAsia="Calibri"/>
          <w:color w:val="000000" w:themeColor="text1"/>
        </w:rPr>
        <w:t xml:space="preserve">calculée, il est </w:t>
      </w:r>
      <w:r w:rsidR="00C73A89">
        <w:rPr>
          <w:rFonts w:eastAsia="Calibri"/>
          <w:color w:val="000000" w:themeColor="text1"/>
        </w:rPr>
        <w:t xml:space="preserve">nécessaire </w:t>
      </w:r>
      <w:r>
        <w:rPr>
          <w:rFonts w:eastAsia="Calibri"/>
          <w:color w:val="000000" w:themeColor="text1"/>
        </w:rPr>
        <w:t xml:space="preserve">d’assurer un suivi des consommations des bâtiments afin de s’assurer de l’atteinte des </w:t>
      </w:r>
      <w:r w:rsidR="00F41C26">
        <w:rPr>
          <w:rFonts w:eastAsia="Calibri"/>
          <w:color w:val="000000" w:themeColor="text1"/>
        </w:rPr>
        <w:t xml:space="preserve">Objectifs </w:t>
      </w:r>
      <w:r>
        <w:rPr>
          <w:rFonts w:eastAsia="Calibri"/>
          <w:color w:val="000000" w:themeColor="text1"/>
        </w:rPr>
        <w:t xml:space="preserve">de </w:t>
      </w:r>
      <w:r w:rsidR="00F41C26">
        <w:rPr>
          <w:rFonts w:eastAsia="Calibri"/>
          <w:color w:val="000000" w:themeColor="text1"/>
        </w:rPr>
        <w:t xml:space="preserve">Performance </w:t>
      </w:r>
      <w:r w:rsidR="002C6FBB">
        <w:rPr>
          <w:rFonts w:eastAsia="Calibri"/>
          <w:color w:val="000000" w:themeColor="text1"/>
        </w:rPr>
        <w:t>Énergétique</w:t>
      </w:r>
      <w:r>
        <w:rPr>
          <w:rFonts w:eastAsia="Calibri"/>
          <w:color w:val="000000" w:themeColor="text1"/>
        </w:rPr>
        <w:t xml:space="preserve">, de suivre les performances prévues tout au long du CPE. Il </w:t>
      </w:r>
      <w:r w:rsidR="00C73A89">
        <w:rPr>
          <w:rFonts w:eastAsia="Calibri"/>
          <w:color w:val="000000" w:themeColor="text1"/>
        </w:rPr>
        <w:t>sera</w:t>
      </w:r>
      <w:r>
        <w:rPr>
          <w:rFonts w:eastAsia="Calibri"/>
          <w:color w:val="000000" w:themeColor="text1"/>
        </w:rPr>
        <w:t xml:space="preserve"> prévu une grille de suivi et ainsi qu’un protocole précis pour s’assurer du respect des engagements contractuels de performance sur lesquels l’opérateur s’est engagé.</w:t>
      </w:r>
    </w:p>
    <w:p w14:paraId="67206F17" w14:textId="682A7387" w:rsidR="009B5EB2" w:rsidRPr="00CB50DF" w:rsidRDefault="000E55CD" w:rsidP="00A9634D">
      <w:pPr>
        <w:pStyle w:val="Titre"/>
        <w:spacing w:line="240" w:lineRule="auto"/>
      </w:pPr>
      <w:bookmarkStart w:id="50" w:name="_Toc112749034"/>
      <w:r w:rsidRPr="00334362">
        <w:lastRenderedPageBreak/>
        <w:t xml:space="preserve">Partie IV - </w:t>
      </w:r>
      <w:r w:rsidR="009B5EB2" w:rsidRPr="00CB50DF">
        <w:t xml:space="preserve">Points d’attention </w:t>
      </w:r>
      <w:r w:rsidR="00327386">
        <w:t>particuliers</w:t>
      </w:r>
      <w:bookmarkEnd w:id="50"/>
    </w:p>
    <w:p w14:paraId="1B60BCE9" w14:textId="2CEDFC97" w:rsidR="009B5EB2" w:rsidRPr="00334362" w:rsidRDefault="00A16075" w:rsidP="00A9634D">
      <w:pPr>
        <w:pStyle w:val="Titre1"/>
        <w:spacing w:line="240" w:lineRule="auto"/>
      </w:pPr>
      <w:r w:rsidRPr="00334362">
        <w:fldChar w:fldCharType="begin"/>
      </w:r>
      <w:r w:rsidRPr="00064B1F">
        <w:instrText xml:space="preserve"> AUTONUMLGL </w:instrText>
      </w:r>
      <w:bookmarkStart w:id="51" w:name="_Toc112749035"/>
      <w:r w:rsidRPr="00334362">
        <w:fldChar w:fldCharType="end"/>
      </w:r>
      <w:r w:rsidR="000E55CD">
        <w:t xml:space="preserve"> </w:t>
      </w:r>
      <w:r w:rsidR="009B5EB2" w:rsidRPr="009A17BE">
        <w:t xml:space="preserve">Inclure ou non la fourniture d’énergie dans le </w:t>
      </w:r>
      <w:r w:rsidR="00AA5261">
        <w:t>CPE</w:t>
      </w:r>
      <w:r w:rsidR="00327386">
        <w:t> ?</w:t>
      </w:r>
      <w:bookmarkEnd w:id="51"/>
    </w:p>
    <w:p w14:paraId="1CBD3832" w14:textId="79EC64EC" w:rsidR="00DB0491" w:rsidRDefault="007C21B3" w:rsidP="00A9634D">
      <w:pPr>
        <w:spacing w:line="240" w:lineRule="auto"/>
        <w:jc w:val="both"/>
        <w:rPr>
          <w:rFonts w:eastAsia="Times New Roman"/>
        </w:rPr>
      </w:pPr>
      <w:r>
        <w:rPr>
          <w:rFonts w:eastAsia="Times New Roman"/>
        </w:rPr>
        <w:t>L</w:t>
      </w:r>
      <w:r w:rsidR="009B5EB2">
        <w:rPr>
          <w:rFonts w:eastAsia="Times New Roman"/>
        </w:rPr>
        <w:t>e Maître d’Ouvrage</w:t>
      </w:r>
      <w:r>
        <w:rPr>
          <w:rFonts w:eastAsia="Times New Roman"/>
        </w:rPr>
        <w:t xml:space="preserve"> peut décider librement</w:t>
      </w:r>
      <w:r w:rsidR="009B5EB2">
        <w:rPr>
          <w:rFonts w:eastAsia="Times New Roman"/>
        </w:rPr>
        <w:t xml:space="preserve"> d’inclure ou non dans </w:t>
      </w:r>
      <w:r>
        <w:rPr>
          <w:rFonts w:eastAsia="Times New Roman"/>
        </w:rPr>
        <w:t>son CPE</w:t>
      </w:r>
      <w:r w:rsidR="009B5EB2">
        <w:rPr>
          <w:rFonts w:eastAsia="Times New Roman"/>
        </w:rPr>
        <w:t xml:space="preserve"> la fourniture d’énergie (P1)</w:t>
      </w:r>
      <w:r w:rsidR="00D234A4">
        <w:rPr>
          <w:rFonts w:eastAsia="Times New Roman"/>
        </w:rPr>
        <w:fldChar w:fldCharType="begin"/>
      </w:r>
      <w:r w:rsidR="00D234A4">
        <w:instrText xml:space="preserve"> XE "</w:instrText>
      </w:r>
      <w:r w:rsidR="00D234A4" w:rsidRPr="000C7330">
        <w:rPr>
          <w:rFonts w:eastAsia="Times New Roman"/>
        </w:rPr>
        <w:instrText>Fourniture d’énergie (P1)</w:instrText>
      </w:r>
      <w:r w:rsidR="00D234A4">
        <w:instrText xml:space="preserve">" \i </w:instrText>
      </w:r>
      <w:r w:rsidR="00D234A4">
        <w:rPr>
          <w:rFonts w:eastAsia="Times New Roman"/>
        </w:rPr>
        <w:fldChar w:fldCharType="end"/>
      </w:r>
      <w:r w:rsidR="009B5EB2">
        <w:rPr>
          <w:rFonts w:eastAsia="Times New Roman"/>
        </w:rPr>
        <w:t>.</w:t>
      </w:r>
    </w:p>
    <w:p w14:paraId="33F18EF7" w14:textId="1B2135AF" w:rsidR="00E14AC9" w:rsidRDefault="00E14AC9" w:rsidP="00E14AC9">
      <w:pPr>
        <w:spacing w:line="240" w:lineRule="auto"/>
        <w:jc w:val="both"/>
        <w:rPr>
          <w:rFonts w:cstheme="minorHAnsi"/>
        </w:rPr>
      </w:pPr>
      <w:r w:rsidRPr="00DB0491">
        <w:rPr>
          <w:rFonts w:cstheme="minorHAnsi"/>
        </w:rPr>
        <w:t>Ce choix correspond à un traitement plus vaste de la question énergétique. Il demeure de la responsabilité du Maître d’Ouvrage de mesurer les avantages et les inconvénients d'une telle solution qui, en droit, n’est ni proscrite ni prescrite.</w:t>
      </w:r>
    </w:p>
    <w:p w14:paraId="641537CA" w14:textId="36763E3B" w:rsidR="009967E2" w:rsidRPr="00DB0491" w:rsidRDefault="009967E2" w:rsidP="00E14AC9">
      <w:pPr>
        <w:spacing w:line="240" w:lineRule="auto"/>
        <w:jc w:val="both"/>
        <w:rPr>
          <w:rFonts w:cstheme="minorHAnsi"/>
        </w:rPr>
      </w:pPr>
      <w:r>
        <w:rPr>
          <w:rFonts w:cstheme="minorHAnsi"/>
        </w:rPr>
        <w:t>Les précisions suivantes visent à éclairer ce choix :</w:t>
      </w:r>
    </w:p>
    <w:p w14:paraId="38E8D8CC" w14:textId="0B776945" w:rsidR="001C0FB1" w:rsidRPr="006D2557" w:rsidRDefault="00952DCC" w:rsidP="006D2557">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C</w:t>
      </w:r>
      <w:r w:rsidR="001C0FB1" w:rsidRPr="006D2557">
        <w:rPr>
          <w:rFonts w:eastAsia="Calibri"/>
          <w:color w:val="000000" w:themeColor="text1"/>
        </w:rPr>
        <w:t>ertains systèmes de production d’énergie impliquent presque systématiquement de confier au Titulaire du CPE la fourniture de la matière première énergétique</w:t>
      </w:r>
      <w:r w:rsidR="00514C99" w:rsidRPr="006D2557">
        <w:rPr>
          <w:rFonts w:eastAsia="Calibri"/>
          <w:color w:val="000000" w:themeColor="text1"/>
        </w:rPr>
        <w:t xml:space="preserve"> (P1 dit </w:t>
      </w:r>
      <w:r w:rsidR="009967E2" w:rsidRPr="006D2557">
        <w:rPr>
          <w:rFonts w:eastAsia="Calibri"/>
          <w:color w:val="000000" w:themeColor="text1"/>
        </w:rPr>
        <w:t>« </w:t>
      </w:r>
      <w:r w:rsidR="00514C99" w:rsidRPr="006D2557">
        <w:rPr>
          <w:rFonts w:eastAsia="Calibri"/>
          <w:color w:val="000000" w:themeColor="text1"/>
        </w:rPr>
        <w:t>spécifique »)</w:t>
      </w:r>
      <w:r w:rsidR="001C0FB1" w:rsidRPr="006D2557">
        <w:rPr>
          <w:rFonts w:eastAsia="Calibri"/>
          <w:color w:val="000000" w:themeColor="text1"/>
        </w:rPr>
        <w:t>. Tel sera par exemple le cas lorsque le titulaire du CPE intègre dans le programme de rénovation énergétique la mise en place d’une chaufferie biomasse (ou autre système de chauffage collectif fonctionnant à partir de source d’énergie renouvelables ou de récupération). Tel sera également le cas lorsque le Titulaire se voit confier la gestion du réseau de chaleur qui alimente collectivement les bâtiments objets du CPE. En effet, les réseaux de chaleur fonctionnent généralement avec des installations multi énergies et/ou des énergies renouvelables, dont la gestion optimisée nécessite des compétences particulières.</w:t>
      </w:r>
    </w:p>
    <w:p w14:paraId="1F143564" w14:textId="7EEA122F" w:rsidR="009B5EB2" w:rsidRPr="0072297D" w:rsidRDefault="009B5EB2" w:rsidP="0072297D">
      <w:pPr>
        <w:pStyle w:val="Paragraphedeliste"/>
        <w:numPr>
          <w:ilvl w:val="0"/>
          <w:numId w:val="11"/>
        </w:numPr>
        <w:spacing w:line="240" w:lineRule="auto"/>
        <w:contextualSpacing w:val="0"/>
        <w:jc w:val="both"/>
        <w:rPr>
          <w:rFonts w:eastAsia="Calibri"/>
          <w:color w:val="000000" w:themeColor="text1"/>
        </w:rPr>
      </w:pPr>
      <w:r w:rsidRPr="0072297D">
        <w:rPr>
          <w:rFonts w:eastAsia="Calibri"/>
          <w:color w:val="000000" w:themeColor="text1"/>
        </w:rPr>
        <w:t xml:space="preserve">Dans le cas où </w:t>
      </w:r>
      <w:r w:rsidR="00514C99" w:rsidRPr="0072297D">
        <w:rPr>
          <w:rFonts w:eastAsia="Calibri"/>
          <w:color w:val="000000" w:themeColor="text1"/>
        </w:rPr>
        <w:t xml:space="preserve">un </w:t>
      </w:r>
      <w:r w:rsidRPr="0072297D">
        <w:rPr>
          <w:rFonts w:eastAsia="Calibri"/>
          <w:color w:val="000000" w:themeColor="text1"/>
        </w:rPr>
        <w:t xml:space="preserve">P1 </w:t>
      </w:r>
      <w:r w:rsidR="00514C99" w:rsidRPr="0072297D">
        <w:rPr>
          <w:rFonts w:eastAsia="Calibri"/>
          <w:color w:val="000000" w:themeColor="text1"/>
        </w:rPr>
        <w:t>non spécifique</w:t>
      </w:r>
      <w:r w:rsidRPr="0072297D">
        <w:rPr>
          <w:rFonts w:eastAsia="Calibri"/>
          <w:color w:val="000000" w:themeColor="text1"/>
        </w:rPr>
        <w:t xml:space="preserve"> serait intégré au contrat, il convien</w:t>
      </w:r>
      <w:r w:rsidR="009967E2" w:rsidRPr="0072297D">
        <w:rPr>
          <w:rFonts w:eastAsia="Calibri"/>
          <w:color w:val="000000" w:themeColor="text1"/>
        </w:rPr>
        <w:t>dra</w:t>
      </w:r>
      <w:r w:rsidRPr="0072297D">
        <w:rPr>
          <w:rFonts w:eastAsia="Calibri"/>
          <w:color w:val="000000" w:themeColor="text1"/>
        </w:rPr>
        <w:t xml:space="preserve"> </w:t>
      </w:r>
      <w:r w:rsidR="00514C99" w:rsidRPr="0072297D">
        <w:rPr>
          <w:rFonts w:eastAsia="Calibri"/>
          <w:color w:val="000000" w:themeColor="text1"/>
        </w:rPr>
        <w:t xml:space="preserve">d’anticiper les effets de ce choix sur le champ effectif de la mise à concurrence à </w:t>
      </w:r>
      <w:r w:rsidR="009967E2" w:rsidRPr="0072297D">
        <w:rPr>
          <w:rFonts w:eastAsia="Calibri"/>
          <w:color w:val="000000" w:themeColor="text1"/>
        </w:rPr>
        <w:t>venir</w:t>
      </w:r>
      <w:r w:rsidRPr="0072297D">
        <w:rPr>
          <w:rFonts w:eastAsia="Calibri"/>
          <w:color w:val="000000" w:themeColor="text1"/>
        </w:rPr>
        <w:t>.</w:t>
      </w:r>
    </w:p>
    <w:p w14:paraId="6708FEA6" w14:textId="68953B21" w:rsidR="00DB0491" w:rsidRPr="006D2557" w:rsidRDefault="00DB0491" w:rsidP="006D2557">
      <w:pPr>
        <w:pStyle w:val="Paragraphedeliste"/>
        <w:numPr>
          <w:ilvl w:val="0"/>
          <w:numId w:val="11"/>
        </w:numPr>
        <w:spacing w:line="240" w:lineRule="auto"/>
        <w:contextualSpacing w:val="0"/>
        <w:jc w:val="both"/>
        <w:rPr>
          <w:rFonts w:eastAsia="Calibri"/>
          <w:color w:val="000000" w:themeColor="text1"/>
        </w:rPr>
      </w:pPr>
      <w:r w:rsidRPr="006D2557">
        <w:rPr>
          <w:rFonts w:eastAsia="Calibri"/>
          <w:color w:val="000000" w:themeColor="text1"/>
        </w:rPr>
        <w:t xml:space="preserve">À titre alternatif, le Titulaire peut être simplement chargé d’assurer par délégation la gestion de l’énergie nécessaire au fonctionnement du chauffage en qualité de </w:t>
      </w:r>
      <w:r w:rsidR="009038F2" w:rsidRPr="006D2557">
        <w:rPr>
          <w:rFonts w:eastAsia="Calibri"/>
          <w:color w:val="000000" w:themeColor="text1"/>
        </w:rPr>
        <w:t>« </w:t>
      </w:r>
      <w:r w:rsidRPr="006D2557">
        <w:rPr>
          <w:rFonts w:eastAsia="Calibri"/>
          <w:color w:val="000000" w:themeColor="text1"/>
        </w:rPr>
        <w:t>payeur divergent</w:t>
      </w:r>
      <w:r w:rsidR="009038F2" w:rsidRPr="006D2557">
        <w:rPr>
          <w:rFonts w:eastAsia="Calibri"/>
          <w:color w:val="000000" w:themeColor="text1"/>
        </w:rPr>
        <w:t> »</w:t>
      </w:r>
      <w:r w:rsidRPr="006D2557">
        <w:rPr>
          <w:rFonts w:eastAsia="Calibri"/>
          <w:color w:val="000000" w:themeColor="text1"/>
        </w:rPr>
        <w:t>. Dans cette hypothèse, les polices d’abonnement sont conservées par le Maître d’Ouvrage et le Titulaire se voit simplement confier la gestion des factures et les relations avec les fournisseurs.</w:t>
      </w:r>
    </w:p>
    <w:p w14:paraId="71043489" w14:textId="5E014529" w:rsidR="009B5EB2" w:rsidRPr="00236E37" w:rsidRDefault="00236E37" w:rsidP="00A9634D">
      <w:pPr>
        <w:pStyle w:val="Titre1"/>
        <w:spacing w:line="240" w:lineRule="auto"/>
      </w:pPr>
      <w:r w:rsidRPr="00334362">
        <w:fldChar w:fldCharType="begin"/>
      </w:r>
      <w:r w:rsidRPr="00334362">
        <w:instrText xml:space="preserve"> AUTONUMLGL </w:instrText>
      </w:r>
      <w:bookmarkStart w:id="52" w:name="_Toc112749036"/>
      <w:r w:rsidRPr="00334362">
        <w:fldChar w:fldCharType="end"/>
      </w:r>
      <w:r w:rsidR="00AA5261">
        <w:t xml:space="preserve"> </w:t>
      </w:r>
      <w:r w:rsidR="009B5EB2" w:rsidRPr="00236E37">
        <w:t>La valorisation des CEE</w:t>
      </w:r>
      <w:bookmarkEnd w:id="52"/>
      <w:r w:rsidR="00BF18F1">
        <w:fldChar w:fldCharType="begin"/>
      </w:r>
      <w:r w:rsidR="00BF18F1">
        <w:instrText xml:space="preserve"> XE "</w:instrText>
      </w:r>
      <w:proofErr w:type="spellStart"/>
      <w:r w:rsidR="00BF18F1" w:rsidRPr="004F0528">
        <w:instrText>CEE:Valorisation</w:instrText>
      </w:r>
      <w:proofErr w:type="spellEnd"/>
      <w:r w:rsidR="00BF18F1">
        <w:instrText xml:space="preserve">" \i </w:instrText>
      </w:r>
      <w:r w:rsidR="00BF18F1">
        <w:fldChar w:fldCharType="end"/>
      </w:r>
    </w:p>
    <w:p w14:paraId="1DFC766F" w14:textId="22B45BD0" w:rsidR="00B106C0" w:rsidRDefault="009B5EB2" w:rsidP="00A9634D">
      <w:pPr>
        <w:spacing w:line="240" w:lineRule="auto"/>
        <w:jc w:val="both"/>
        <w:rPr>
          <w:rFonts w:eastAsia="Times New Roman"/>
        </w:rPr>
      </w:pPr>
      <w:r w:rsidRPr="0006609C">
        <w:rPr>
          <w:rFonts w:eastAsia="Times New Roman"/>
        </w:rPr>
        <w:t xml:space="preserve">Le </w:t>
      </w:r>
      <w:r w:rsidR="00DB785F">
        <w:rPr>
          <w:rFonts w:eastAsia="Times New Roman"/>
        </w:rPr>
        <w:t>CPE</w:t>
      </w:r>
      <w:r w:rsidRPr="0006609C">
        <w:rPr>
          <w:rFonts w:eastAsia="Times New Roman"/>
        </w:rPr>
        <w:t xml:space="preserve"> permet de garantir la réalisation d’économies d’énergies sur </w:t>
      </w:r>
      <w:r>
        <w:rPr>
          <w:rFonts w:eastAsia="Times New Roman"/>
        </w:rPr>
        <w:t>d</w:t>
      </w:r>
      <w:r w:rsidRPr="0006609C">
        <w:rPr>
          <w:rFonts w:eastAsia="Times New Roman"/>
        </w:rPr>
        <w:t xml:space="preserve">es bâtiments </w:t>
      </w:r>
      <w:r>
        <w:rPr>
          <w:rFonts w:eastAsia="Times New Roman"/>
        </w:rPr>
        <w:t>ciblés.</w:t>
      </w:r>
      <w:r w:rsidRPr="0006609C">
        <w:rPr>
          <w:rFonts w:eastAsia="Times New Roman"/>
        </w:rPr>
        <w:t xml:space="preserve"> </w:t>
      </w:r>
      <w:r>
        <w:rPr>
          <w:rFonts w:eastAsia="Times New Roman"/>
        </w:rPr>
        <w:t>Ces économies d’énergie permettent d’obtenir des Certificats d’économies d’énergie (CEE</w:t>
      </w:r>
      <w:r w:rsidR="00AD1AA5">
        <w:rPr>
          <w:rFonts w:eastAsia="Times New Roman"/>
        </w:rPr>
        <w:fldChar w:fldCharType="begin"/>
      </w:r>
      <w:r w:rsidR="00AD1AA5">
        <w:instrText xml:space="preserve"> XE "</w:instrText>
      </w:r>
      <w:r w:rsidR="00AD1AA5" w:rsidRPr="00CC1ECE">
        <w:rPr>
          <w:rFonts w:eastAsia="Times New Roman"/>
        </w:rPr>
        <w:instrText>Certificats d’économies d’énergie (CEE)</w:instrText>
      </w:r>
      <w:r w:rsidR="00AD1AA5">
        <w:instrText xml:space="preserve">" \i </w:instrText>
      </w:r>
      <w:r w:rsidR="00AD1AA5">
        <w:rPr>
          <w:rFonts w:eastAsia="Times New Roman"/>
        </w:rPr>
        <w:fldChar w:fldCharType="end"/>
      </w:r>
      <w:r>
        <w:rPr>
          <w:rFonts w:eastAsia="Times New Roman"/>
        </w:rPr>
        <w:t>), pouvant ensuite être valorisés</w:t>
      </w:r>
      <w:r w:rsidR="00B106C0">
        <w:rPr>
          <w:rFonts w:eastAsia="Times New Roman"/>
        </w:rPr>
        <w:t xml:space="preserve">. </w:t>
      </w:r>
    </w:p>
    <w:p w14:paraId="11B9F474" w14:textId="02ABDB7A" w:rsidR="00FB093F" w:rsidRPr="00B106C0" w:rsidRDefault="00B106C0" w:rsidP="00A9634D">
      <w:pPr>
        <w:spacing w:line="240" w:lineRule="auto"/>
        <w:jc w:val="both"/>
        <w:rPr>
          <w:rFonts w:eastAsia="Times New Roman"/>
        </w:rPr>
      </w:pPr>
      <w:r>
        <w:rPr>
          <w:rFonts w:eastAsia="Times New Roman"/>
        </w:rPr>
        <w:t>La valorisation des CEE peut être envisagée de plusieurs manières différentes pour un Maître d’ouvrage</w:t>
      </w:r>
      <w:r w:rsidR="001D55FC">
        <w:rPr>
          <w:rFonts w:eastAsia="Times New Roman"/>
        </w:rPr>
        <w:t xml:space="preserve"> (voir en ce sens la fiche de la DAJ</w:t>
      </w:r>
      <w:r w:rsidR="001D55FC">
        <w:rPr>
          <w:rStyle w:val="Appelnotedebasdep"/>
          <w:rFonts w:eastAsia="Calibri"/>
          <w:color w:val="000000" w:themeColor="text1"/>
        </w:rPr>
        <w:footnoteReference w:id="6"/>
      </w:r>
      <w:r>
        <w:rPr>
          <w:rFonts w:eastAsia="Times New Roman"/>
        </w:rPr>
        <w:t xml:space="preserve">. </w:t>
      </w:r>
    </w:p>
    <w:p w14:paraId="73439CF3" w14:textId="77777777" w:rsidR="00B106C0" w:rsidRDefault="00B106C0" w:rsidP="00B106C0">
      <w:pPr>
        <w:spacing w:line="240" w:lineRule="auto"/>
        <w:jc w:val="both"/>
      </w:pPr>
      <w:r>
        <w:t>(a) Valorisation par le Maître d’Ouvrage :</w:t>
      </w:r>
    </w:p>
    <w:p w14:paraId="460DBFF2" w14:textId="29D974EC" w:rsidR="00F44B28" w:rsidRDefault="00F44B28" w:rsidP="00A9634D">
      <w:pPr>
        <w:spacing w:line="240" w:lineRule="auto"/>
        <w:jc w:val="both"/>
      </w:pPr>
      <w:r>
        <w:lastRenderedPageBreak/>
        <w:t xml:space="preserve">Cette valorisation est réalisée par le Maître d’Ouvrage lui-même ou par un acteur intermédiaire, notamment : </w:t>
      </w:r>
    </w:p>
    <w:p w14:paraId="35C27996" w14:textId="62FADA66" w:rsidR="00F44B28" w:rsidRPr="007A4186" w:rsidRDefault="00F44B28" w:rsidP="00F44B28">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L</w:t>
      </w:r>
      <w:r w:rsidRPr="007A4186">
        <w:rPr>
          <w:rFonts w:eastAsia="Calibri"/>
          <w:color w:val="000000" w:themeColor="text1"/>
        </w:rPr>
        <w:t xml:space="preserve">e Syndicat d’énergie de son territoire. En effet, de nombreux syndicats d’énergie proposent à leurs membres de s’occuper de la valorisation des CEE liés aux économies d’énergie réalisées. Dans le cas d’un regroupement, plusieurs éligibles confient à l’un d’entre eux le rôle de </w:t>
      </w:r>
      <w:proofErr w:type="spellStart"/>
      <w:r w:rsidRPr="007A4186">
        <w:rPr>
          <w:rFonts w:eastAsia="Calibri"/>
          <w:color w:val="000000" w:themeColor="text1"/>
        </w:rPr>
        <w:t>regroupeur</w:t>
      </w:r>
      <w:proofErr w:type="spellEnd"/>
      <w:r w:rsidRPr="007A4186">
        <w:rPr>
          <w:rFonts w:eastAsia="Calibri"/>
          <w:color w:val="000000" w:themeColor="text1"/>
        </w:rPr>
        <w:t xml:space="preserve"> afin que ce dernier dépose les CEE pour l’ensemble des membres.</w:t>
      </w:r>
    </w:p>
    <w:p w14:paraId="0EF4887E" w14:textId="5F3A3FB4" w:rsidR="00F44B28" w:rsidRPr="00F44B28" w:rsidRDefault="00F44B28" w:rsidP="00F44B28">
      <w:pPr>
        <w:pStyle w:val="Paragraphedeliste"/>
        <w:numPr>
          <w:ilvl w:val="0"/>
          <w:numId w:val="11"/>
        </w:numPr>
        <w:spacing w:line="240" w:lineRule="auto"/>
        <w:contextualSpacing w:val="0"/>
        <w:jc w:val="both"/>
        <w:rPr>
          <w:rFonts w:eastAsia="Calibri"/>
          <w:color w:val="000000" w:themeColor="text1"/>
        </w:rPr>
      </w:pPr>
      <w:r>
        <w:rPr>
          <w:rFonts w:eastAsia="Calibri"/>
          <w:color w:val="000000" w:themeColor="text1"/>
        </w:rPr>
        <w:t>U</w:t>
      </w:r>
      <w:r w:rsidRPr="007A4186">
        <w:rPr>
          <w:rFonts w:eastAsia="Calibri"/>
          <w:color w:val="000000" w:themeColor="text1"/>
        </w:rPr>
        <w:t xml:space="preserve">n acteur obligé ou un délégataire : ce montage vise à mettre en place un partenariat entre la collectivité et un acteur obligé ou un délégataire (qui remplissent les obligations pour le compte de certains acteurs obligés) sur une opération unique ou une période définie. Dans ce cadre, il est important de bien définir, le rôle de chacun, les opérations éligibles aux partenariats (fiches spécifiques, collectivité uniquement, opérations de territoire…), les volumes de CEE, les prix (fourchette, formule de calcul…). </w:t>
      </w:r>
    </w:p>
    <w:p w14:paraId="10191A0F" w14:textId="77777777" w:rsidR="00AB1FCF" w:rsidRDefault="002D5AF8" w:rsidP="00A9634D">
      <w:pPr>
        <w:spacing w:line="240" w:lineRule="auto"/>
        <w:jc w:val="both"/>
      </w:pPr>
      <w:r>
        <w:t xml:space="preserve">Cela implique </w:t>
      </w:r>
      <w:proofErr w:type="gramStart"/>
      <w:r w:rsidRPr="00032B31">
        <w:rPr>
          <w:i/>
        </w:rPr>
        <w:t>a</w:t>
      </w:r>
      <w:proofErr w:type="gramEnd"/>
      <w:r w:rsidRPr="00032B31">
        <w:rPr>
          <w:i/>
        </w:rPr>
        <w:t xml:space="preserve"> minima</w:t>
      </w:r>
      <w:r>
        <w:t xml:space="preserve"> que le Titulaire produise pour le compte du Maître d’Ouvrage l’ensemble des pièces écrites (attestations, notices techniques, facturation) nécessaires </w:t>
      </w:r>
      <w:r w:rsidR="00A80735">
        <w:t xml:space="preserve">à la valorisation </w:t>
      </w:r>
      <w:r>
        <w:t xml:space="preserve">des CEE. </w:t>
      </w:r>
    </w:p>
    <w:p w14:paraId="5B0CE959" w14:textId="44B98111" w:rsidR="002D5AF8" w:rsidRDefault="002D5AF8" w:rsidP="00A9634D">
      <w:pPr>
        <w:spacing w:line="240" w:lineRule="auto"/>
        <w:jc w:val="both"/>
      </w:pPr>
      <w:r>
        <w:t xml:space="preserve">À titre complémentaire, le CCAG CPE demande au Titulaire de garantir un volume de CEE. Le Maître d’Ouvrage sera ainsi en droit d’exiger le versement d’une indemnité dans l’hypothèse où le projet ne permettrait pas d’obtenir tout ou partie du volume de CEE garanti. Cette indemnité sera égale à la valeur des CEE non obtenus, calculée sur la base de l’engagement du Titulaire exprimé en MWh cumac et </w:t>
      </w:r>
      <w:r w:rsidR="00287D86">
        <w:t xml:space="preserve">d’un </w:t>
      </w:r>
      <w:r>
        <w:t xml:space="preserve">prix </w:t>
      </w:r>
      <w:r w:rsidR="00287D86">
        <w:t xml:space="preserve">unitaire </w:t>
      </w:r>
      <w:r>
        <w:t xml:space="preserve">de </w:t>
      </w:r>
      <w:r w:rsidR="008C09BE">
        <w:t>valorisation</w:t>
      </w:r>
      <w:r>
        <w:t xml:space="preserve"> fixé par les documents particuliers du Marché (en €/MWh cumac)</w:t>
      </w:r>
      <w:r w:rsidR="00093E9F">
        <w:t>, ferme ou révisable</w:t>
      </w:r>
      <w:r>
        <w:t>.</w:t>
      </w:r>
    </w:p>
    <w:p w14:paraId="453AB675" w14:textId="4912A246" w:rsidR="00B106C0" w:rsidRPr="005D5232" w:rsidRDefault="00B106C0" w:rsidP="00A9634D">
      <w:pPr>
        <w:spacing w:line="240" w:lineRule="auto"/>
        <w:jc w:val="both"/>
      </w:pPr>
      <w:r>
        <w:t>(b) Valorisation par le Titulaire :</w:t>
      </w:r>
    </w:p>
    <w:p w14:paraId="7F5CBD5B" w14:textId="1ED9129F" w:rsidR="00F44B28" w:rsidRDefault="00051DFE" w:rsidP="004D7BB1">
      <w:pPr>
        <w:spacing w:line="240" w:lineRule="auto"/>
        <w:jc w:val="both"/>
        <w:rPr>
          <w:rFonts w:eastAsia="Times New Roman"/>
        </w:rPr>
      </w:pPr>
      <w:r>
        <w:rPr>
          <w:rFonts w:eastAsia="Calibri"/>
          <w:color w:val="000000" w:themeColor="text1"/>
        </w:rPr>
        <w:t xml:space="preserve">Conformément aux recommandations de la DAJ, </w:t>
      </w:r>
      <w:r w:rsidR="00F44B28">
        <w:rPr>
          <w:rFonts w:eastAsia="Times New Roman"/>
        </w:rPr>
        <w:t xml:space="preserve">le Maître d’Ouvrage peut </w:t>
      </w:r>
      <w:r w:rsidR="004D7BB1">
        <w:rPr>
          <w:rFonts w:eastAsia="Times New Roman"/>
        </w:rPr>
        <w:t>autoriser une</w:t>
      </w:r>
      <w:r w:rsidR="00F44B28">
        <w:rPr>
          <w:rFonts w:eastAsia="Times New Roman"/>
        </w:rPr>
        <w:t xml:space="preserve"> valorisation des CEE </w:t>
      </w:r>
      <w:r w:rsidR="004D7BB1">
        <w:rPr>
          <w:rFonts w:eastAsia="Calibri"/>
          <w:color w:val="000000" w:themeColor="text1"/>
        </w:rPr>
        <w:t>par le</w:t>
      </w:r>
      <w:r w:rsidR="004D7BB1" w:rsidRPr="007A4186">
        <w:rPr>
          <w:rFonts w:eastAsia="Calibri"/>
          <w:color w:val="000000" w:themeColor="text1"/>
        </w:rPr>
        <w:t xml:space="preserve"> </w:t>
      </w:r>
      <w:r w:rsidR="00F44B28" w:rsidRPr="007A4186">
        <w:rPr>
          <w:rFonts w:eastAsia="Calibri"/>
          <w:color w:val="000000" w:themeColor="text1"/>
        </w:rPr>
        <w:t xml:space="preserve">Titulaire du Marché. Dans cette hypothèse, le Titulaire peut garantir au Maître d’Ouvrage un volume de CEE ainsi qu’un montant en euros pour la valorisation des CEE. Le montant des CEE </w:t>
      </w:r>
      <w:r w:rsidR="00951F86">
        <w:rPr>
          <w:rFonts w:eastAsia="Calibri"/>
          <w:color w:val="000000" w:themeColor="text1"/>
        </w:rPr>
        <w:t xml:space="preserve">garanti </w:t>
      </w:r>
      <w:r w:rsidR="00F44B28" w:rsidRPr="007A4186">
        <w:rPr>
          <w:rFonts w:eastAsia="Calibri"/>
          <w:color w:val="000000" w:themeColor="text1"/>
        </w:rPr>
        <w:t>viendra en déduction des prix versés par le Maître d’Ouvrage au titre des Actions de Rénovation, y compris dans l’hypothèse où le montant des CEE effectivement obtenus par le Titulaire serait inférieur aux engagements du Titulaire</w:t>
      </w:r>
      <w:r w:rsidR="001B490D">
        <w:rPr>
          <w:rFonts w:eastAsia="Calibri"/>
          <w:color w:val="000000" w:themeColor="text1"/>
        </w:rPr>
        <w:t>.</w:t>
      </w:r>
    </w:p>
    <w:p w14:paraId="30EFB8B3" w14:textId="15A2F8B7" w:rsidR="00051DFE" w:rsidRPr="00A44B4D" w:rsidRDefault="004D7BB1" w:rsidP="00093E9F">
      <w:pPr>
        <w:spacing w:line="240" w:lineRule="auto"/>
        <w:jc w:val="both"/>
        <w:rPr>
          <w:rFonts w:eastAsia="Calibri"/>
          <w:color w:val="000000" w:themeColor="text1"/>
        </w:rPr>
      </w:pPr>
      <w:r>
        <w:rPr>
          <w:rFonts w:eastAsia="Calibri"/>
          <w:color w:val="000000" w:themeColor="text1"/>
        </w:rPr>
        <w:t>Conformément aux recommandations de la DAJ, l</w:t>
      </w:r>
      <w:r w:rsidR="00093E9F" w:rsidRPr="00A44B4D">
        <w:rPr>
          <w:rFonts w:eastAsia="Calibri"/>
          <w:color w:val="000000" w:themeColor="text1"/>
        </w:rPr>
        <w:t xml:space="preserve">es documents particuliers du Marché </w:t>
      </w:r>
      <w:r>
        <w:rPr>
          <w:rFonts w:eastAsia="Calibri"/>
          <w:color w:val="000000" w:themeColor="text1"/>
        </w:rPr>
        <w:t>doivent</w:t>
      </w:r>
      <w:r w:rsidR="00093E9F" w:rsidRPr="00A44B4D">
        <w:rPr>
          <w:rFonts w:eastAsia="Calibri"/>
          <w:color w:val="000000" w:themeColor="text1"/>
        </w:rPr>
        <w:t xml:space="preserve"> laisser </w:t>
      </w:r>
      <w:r w:rsidR="009C1EF1">
        <w:rPr>
          <w:rFonts w:eastAsia="Calibri"/>
          <w:color w:val="000000" w:themeColor="text1"/>
        </w:rPr>
        <w:t>la possibilité</w:t>
      </w:r>
      <w:r w:rsidR="00093E9F" w:rsidRPr="00A44B4D">
        <w:rPr>
          <w:rFonts w:eastAsia="Calibri"/>
          <w:color w:val="000000" w:themeColor="text1"/>
        </w:rPr>
        <w:t xml:space="preserve"> aux candidats </w:t>
      </w:r>
      <w:r w:rsidR="00093E9F">
        <w:rPr>
          <w:rFonts w:eastAsia="Calibri"/>
          <w:color w:val="000000" w:themeColor="text1"/>
        </w:rPr>
        <w:t xml:space="preserve">de valoriser ou non les CEE et en conséquence, </w:t>
      </w:r>
      <w:r w:rsidR="00093E9F" w:rsidRPr="00A44B4D">
        <w:rPr>
          <w:rFonts w:eastAsia="Calibri"/>
          <w:color w:val="000000" w:themeColor="text1"/>
        </w:rPr>
        <w:t xml:space="preserve">i) soit de s’engager </w:t>
      </w:r>
      <w:r w:rsidR="00056FAD">
        <w:rPr>
          <w:rFonts w:eastAsia="Calibri"/>
          <w:color w:val="000000" w:themeColor="text1"/>
        </w:rPr>
        <w:t xml:space="preserve">uniquement </w:t>
      </w:r>
      <w:r w:rsidR="00093E9F" w:rsidRPr="00A44B4D">
        <w:rPr>
          <w:rFonts w:eastAsia="Calibri"/>
          <w:color w:val="000000" w:themeColor="text1"/>
        </w:rPr>
        <w:t xml:space="preserve">sur le volume des CEE obtenus (en MWh cumac), ii) soit de s’engager </w:t>
      </w:r>
      <w:r w:rsidR="00056FAD">
        <w:rPr>
          <w:rFonts w:eastAsia="Calibri"/>
          <w:color w:val="000000" w:themeColor="text1"/>
        </w:rPr>
        <w:t xml:space="preserve">également </w:t>
      </w:r>
      <w:r w:rsidR="00093E9F" w:rsidRPr="00A44B4D">
        <w:rPr>
          <w:rFonts w:eastAsia="Calibri"/>
          <w:color w:val="000000" w:themeColor="text1"/>
        </w:rPr>
        <w:t>sur le montant des CEE obtenus (en €).</w:t>
      </w:r>
    </w:p>
    <w:p w14:paraId="6F6FB00D" w14:textId="77CA6374" w:rsidR="00EB3D36" w:rsidRPr="00BF18F1" w:rsidRDefault="009C3408" w:rsidP="00BF18F1">
      <w:pPr>
        <w:pStyle w:val="Titre1"/>
        <w:spacing w:line="240" w:lineRule="auto"/>
      </w:pPr>
      <w:r w:rsidRPr="00334362">
        <w:fldChar w:fldCharType="begin"/>
      </w:r>
      <w:r w:rsidRPr="00334362">
        <w:instrText xml:space="preserve"> AUTONUMLGL </w:instrText>
      </w:r>
      <w:bookmarkStart w:id="53" w:name="_Toc112749037"/>
      <w:r w:rsidRPr="00334362">
        <w:fldChar w:fldCharType="end"/>
      </w:r>
      <w:r>
        <w:t xml:space="preserve"> </w:t>
      </w:r>
      <w:r w:rsidR="00EB3D36" w:rsidRPr="00BF18F1">
        <w:t xml:space="preserve">La bonification </w:t>
      </w:r>
      <w:r>
        <w:t xml:space="preserve">des </w:t>
      </w:r>
      <w:r w:rsidR="00EB3D36" w:rsidRPr="00BF18F1">
        <w:t>CPE</w:t>
      </w:r>
      <w:bookmarkEnd w:id="53"/>
      <w:r w:rsidR="009A57D6">
        <w:fldChar w:fldCharType="begin"/>
      </w:r>
      <w:r w:rsidR="009A57D6">
        <w:instrText xml:space="preserve"> XE "</w:instrText>
      </w:r>
      <w:proofErr w:type="spellStart"/>
      <w:r w:rsidR="009A57D6" w:rsidRPr="002306F1">
        <w:instrText>CEE:Bonification</w:instrText>
      </w:r>
      <w:proofErr w:type="spellEnd"/>
      <w:r w:rsidR="009A57D6">
        <w:instrText xml:space="preserve">" \i </w:instrText>
      </w:r>
      <w:r w:rsidR="009A57D6">
        <w:fldChar w:fldCharType="end"/>
      </w:r>
      <w:r w:rsidR="00EB3D36" w:rsidRPr="00064B1F">
        <w:t xml:space="preserve"> </w:t>
      </w:r>
    </w:p>
    <w:p w14:paraId="28F7C95D" w14:textId="1AEDF58F" w:rsidR="001E116A" w:rsidRDefault="001E116A" w:rsidP="00A9634D">
      <w:pPr>
        <w:spacing w:line="240" w:lineRule="auto"/>
        <w:jc w:val="both"/>
      </w:pPr>
      <w:r w:rsidRPr="007A20F4">
        <w:t xml:space="preserve">Selon l’arrêté </w:t>
      </w:r>
      <w:r w:rsidR="00AB1FCF" w:rsidRPr="007A20F4">
        <w:t xml:space="preserve">modifié </w:t>
      </w:r>
      <w:r w:rsidRPr="007A20F4">
        <w:t>du 29 décembre 2014 relatif</w:t>
      </w:r>
      <w:r>
        <w:t xml:space="preserve"> aux modalités d'application du dispositif des certificats d'économies d'énergie</w:t>
      </w:r>
      <w:r w:rsidR="00A957AF">
        <w:t xml:space="preserve"> (</w:t>
      </w:r>
      <w:r w:rsidR="00A957AF" w:rsidRPr="00A957AF">
        <w:t>https://www.legifrance.gouv.fr/loda/id/JORFTEXT000030001603/</w:t>
      </w:r>
      <w:r w:rsidR="00A957AF">
        <w:t>)</w:t>
      </w:r>
      <w:r>
        <w:t xml:space="preserve">, le volume des CEE délivrés pour les opérations d'économies d'énergie standardisées ou spécifiques engagées dans le cadre d'un contrat de performance énergétique, hors contrats de conduite des installations et les contrats de services pour la maintenance, l'exploitation et l'optimisation des installations de chauffage, </w:t>
      </w:r>
      <w:r w:rsidR="001E7FE2">
        <w:t xml:space="preserve">peut </w:t>
      </w:r>
      <w:r>
        <w:t>bénéficie</w:t>
      </w:r>
      <w:r w:rsidR="001E7FE2">
        <w:t>r</w:t>
      </w:r>
      <w:r>
        <w:t xml:space="preserve"> d’une bonification</w:t>
      </w:r>
      <w:r w:rsidR="001E7FE2">
        <w:t>, définie comme suit :</w:t>
      </w:r>
    </w:p>
    <w:p w14:paraId="44F4BEAA" w14:textId="25F0C706" w:rsidR="001E116A" w:rsidRDefault="001E116A" w:rsidP="00BF18F1">
      <w:pPr>
        <w:spacing w:line="240" w:lineRule="auto"/>
        <w:jc w:val="both"/>
      </w:pPr>
      <w:r>
        <w:t>a)</w:t>
      </w:r>
      <w:r w:rsidR="00810416">
        <w:t xml:space="preserve"> </w:t>
      </w:r>
      <w:r>
        <w:t>Si la durée de la garantie de performance du CPE est inférieure à 10 ans :</w:t>
      </w:r>
    </w:p>
    <w:p w14:paraId="7C435D57" w14:textId="7BAC7CB7" w:rsidR="001E116A" w:rsidRPr="002C3249" w:rsidRDefault="001E116A" w:rsidP="002C3249">
      <w:pPr>
        <w:spacing w:line="240" w:lineRule="auto"/>
        <w:ind w:left="708"/>
        <w:jc w:val="both"/>
      </w:pPr>
      <w:r w:rsidRPr="002C3249">
        <w:t>-</w:t>
      </w:r>
      <w:r w:rsidR="00810416" w:rsidRPr="002C3249">
        <w:t xml:space="preserve"> </w:t>
      </w:r>
      <w:r w:rsidRPr="002C3249">
        <w:t>1 + 2 × E, pour les opérations relevant des secteurs résidentiel et tertiaire ;</w:t>
      </w:r>
    </w:p>
    <w:p w14:paraId="3F60CDCA" w14:textId="4C5E09FF" w:rsidR="001E116A" w:rsidRPr="002C3249" w:rsidRDefault="001E116A" w:rsidP="002C3249">
      <w:pPr>
        <w:spacing w:line="240" w:lineRule="auto"/>
        <w:ind w:left="708"/>
        <w:jc w:val="both"/>
      </w:pPr>
      <w:r w:rsidRPr="002C3249">
        <w:t>-</w:t>
      </w:r>
      <w:r w:rsidR="00810416" w:rsidRPr="002C3249">
        <w:t xml:space="preserve"> </w:t>
      </w:r>
      <w:r w:rsidRPr="002C3249">
        <w:t>1 + E pour les opérations relevant des autres secteurs, engagées jusqu'au 31 décembre 2021</w:t>
      </w:r>
      <w:r w:rsidR="0005154E" w:rsidRPr="002C3249">
        <w:t> </w:t>
      </w:r>
      <w:r w:rsidRPr="002C3249">
        <w:t>;</w:t>
      </w:r>
    </w:p>
    <w:p w14:paraId="7FC38988" w14:textId="77777777" w:rsidR="001E116A" w:rsidRPr="002C3249" w:rsidRDefault="001E116A" w:rsidP="00BF18F1">
      <w:pPr>
        <w:spacing w:line="240" w:lineRule="auto"/>
        <w:jc w:val="both"/>
      </w:pPr>
      <w:r w:rsidRPr="002C3249">
        <w:lastRenderedPageBreak/>
        <w:t>b) Si la durée de la garantie de performance du CPE est supérieure ou égale à 10 ans :</w:t>
      </w:r>
    </w:p>
    <w:p w14:paraId="0B802DBB" w14:textId="395CDCAC" w:rsidR="001E116A" w:rsidRPr="002C3249" w:rsidRDefault="001E116A" w:rsidP="002C3249">
      <w:pPr>
        <w:spacing w:line="240" w:lineRule="auto"/>
        <w:ind w:left="708"/>
        <w:jc w:val="both"/>
      </w:pPr>
      <w:r w:rsidRPr="002C3249">
        <w:t>-</w:t>
      </w:r>
      <w:r w:rsidR="00810416" w:rsidRPr="002C3249">
        <w:t xml:space="preserve"> </w:t>
      </w:r>
      <w:r w:rsidRPr="002C3249">
        <w:t>1 + 3 × E, pour les opérations relevant des secteurs résidentiel et tertiaire ;</w:t>
      </w:r>
    </w:p>
    <w:p w14:paraId="4F671435" w14:textId="6F644743" w:rsidR="001E116A" w:rsidRDefault="001E116A" w:rsidP="002C3249">
      <w:pPr>
        <w:spacing w:line="240" w:lineRule="auto"/>
        <w:ind w:left="708"/>
        <w:jc w:val="both"/>
      </w:pPr>
      <w:r w:rsidRPr="002C3249">
        <w:t>-</w:t>
      </w:r>
      <w:r w:rsidR="00810416" w:rsidRPr="002C3249">
        <w:t xml:space="preserve"> </w:t>
      </w:r>
      <w:r w:rsidRPr="002C3249">
        <w:t>1 + 1,1 × E pour les opérations relevant des autres secteurs, engagées jusqu'au 31 décembre 2021 ;</w:t>
      </w:r>
    </w:p>
    <w:p w14:paraId="407F14B6" w14:textId="77777777" w:rsidR="001E116A" w:rsidRDefault="001E116A" w:rsidP="00BF18F1">
      <w:pPr>
        <w:spacing w:line="240" w:lineRule="auto"/>
        <w:jc w:val="both"/>
      </w:pPr>
      <w:r>
        <w:t>où E est le niveau d'économies d'énergie finale garanti par le CPE.</w:t>
      </w:r>
    </w:p>
    <w:p w14:paraId="4963EF4C" w14:textId="370FECCE" w:rsidR="00A957AF" w:rsidRDefault="00A957AF" w:rsidP="00A957AF">
      <w:pPr>
        <w:spacing w:line="240" w:lineRule="auto"/>
        <w:jc w:val="both"/>
      </w:pPr>
      <w:r>
        <w:t xml:space="preserve">L’annexe IX du dispositif des CEE fournit des définitions spécifiques : </w:t>
      </w:r>
    </w:p>
    <w:p w14:paraId="78FC63AA" w14:textId="20A56100" w:rsidR="00A957AF" w:rsidRDefault="00A957AF" w:rsidP="00A957AF">
      <w:pPr>
        <w:pStyle w:val="Paragraphedeliste"/>
        <w:numPr>
          <w:ilvl w:val="0"/>
          <w:numId w:val="11"/>
        </w:numPr>
        <w:spacing w:line="240" w:lineRule="auto"/>
        <w:jc w:val="both"/>
      </w:pPr>
      <w:r>
        <w:t>Du CPE</w:t>
      </w:r>
    </w:p>
    <w:p w14:paraId="03870EC0" w14:textId="0CB34734" w:rsidR="00A957AF" w:rsidRDefault="00A957AF" w:rsidP="00A957AF">
      <w:pPr>
        <w:pStyle w:val="Paragraphedeliste"/>
        <w:numPr>
          <w:ilvl w:val="0"/>
          <w:numId w:val="11"/>
        </w:numPr>
        <w:spacing w:line="240" w:lineRule="auto"/>
        <w:jc w:val="both"/>
      </w:pPr>
      <w:r>
        <w:t>De la Situation de Référence</w:t>
      </w:r>
    </w:p>
    <w:p w14:paraId="7FF239A9" w14:textId="14AB822A" w:rsidR="00A957AF" w:rsidRPr="00A957AF" w:rsidRDefault="00A957AF" w:rsidP="00A957AF">
      <w:pPr>
        <w:pStyle w:val="Paragraphedeliste"/>
        <w:numPr>
          <w:ilvl w:val="0"/>
          <w:numId w:val="11"/>
        </w:numPr>
        <w:spacing w:line="240" w:lineRule="auto"/>
        <w:jc w:val="both"/>
      </w:pPr>
      <w:r>
        <w:t>De l</w:t>
      </w:r>
      <w:r w:rsidRPr="00A957AF">
        <w:t>'objectif d'économie d'énergie</w:t>
      </w:r>
    </w:p>
    <w:p w14:paraId="54BF6038" w14:textId="6339E311" w:rsidR="00A957AF" w:rsidRDefault="00A957AF" w:rsidP="00A957AF">
      <w:pPr>
        <w:pStyle w:val="Paragraphedeliste"/>
        <w:numPr>
          <w:ilvl w:val="0"/>
          <w:numId w:val="11"/>
        </w:numPr>
        <w:spacing w:line="240" w:lineRule="auto"/>
        <w:jc w:val="both"/>
      </w:pPr>
      <w:r>
        <w:t>De l</w:t>
      </w:r>
      <w:r w:rsidRPr="00A957AF">
        <w:t>a pénalité financière prévue en cas de non atteinte de l'objectif garanti</w:t>
      </w:r>
    </w:p>
    <w:p w14:paraId="7AD06DED" w14:textId="5CE7F30C" w:rsidR="00A957AF" w:rsidRDefault="00A957AF" w:rsidP="00A957AF">
      <w:pPr>
        <w:spacing w:line="240" w:lineRule="auto"/>
        <w:jc w:val="both"/>
      </w:pPr>
      <w:r>
        <w:t>Le CPE doit respecter les conditions suivantes :</w:t>
      </w:r>
    </w:p>
    <w:p w14:paraId="4D81839B" w14:textId="649EC393" w:rsidR="00A957AF" w:rsidRDefault="00A957AF" w:rsidP="00A957AF">
      <w:pPr>
        <w:pStyle w:val="Paragraphedeliste"/>
        <w:numPr>
          <w:ilvl w:val="0"/>
          <w:numId w:val="11"/>
        </w:numPr>
        <w:spacing w:line="240" w:lineRule="auto"/>
        <w:jc w:val="both"/>
      </w:pPr>
      <w:r>
        <w:t>l'objectif d'économie d'énergie finale est d'au moins 20 % sur le périmètre du contrat par rapport à la situation de référence ;</w:t>
      </w:r>
    </w:p>
    <w:p w14:paraId="0A66C1A2" w14:textId="39C1D3F7" w:rsidR="00A957AF" w:rsidRDefault="00A957AF" w:rsidP="00A957AF">
      <w:pPr>
        <w:pStyle w:val="Paragraphedeliste"/>
        <w:numPr>
          <w:ilvl w:val="0"/>
          <w:numId w:val="11"/>
        </w:numPr>
        <w:spacing w:line="240" w:lineRule="auto"/>
        <w:jc w:val="both"/>
      </w:pPr>
      <w:r>
        <w:t>la période durant laquelle cette économie d'énergie est garantie est d'au moins 5 ans ;</w:t>
      </w:r>
    </w:p>
    <w:p w14:paraId="7919D6D8" w14:textId="564C2FD5" w:rsidR="00A957AF" w:rsidRDefault="00A957AF" w:rsidP="00A957AF">
      <w:pPr>
        <w:pStyle w:val="Paragraphedeliste"/>
        <w:numPr>
          <w:ilvl w:val="0"/>
          <w:numId w:val="11"/>
        </w:numPr>
        <w:spacing w:line="240" w:lineRule="auto"/>
        <w:jc w:val="both"/>
      </w:pPr>
      <w:r>
        <w:t>les variables utilisées dans la définition de la situation de référence sont décrites dans le contrat, de façon regroupée : période de référence, caractéristiques du bâtiment (puissance totale de la chaufferie hors secours, énergies entrantes, opérations engagées ou réalisées pendant la période de référence, etc.), consommation de référence (modalités de calcul, méthode de correction, etc.), paramètres d'ajustements (température extérieure, eau chaude sanitaire, affectation des locaux, taux d'occupation, durée de fonctionnement, etc.) ;</w:t>
      </w:r>
    </w:p>
    <w:p w14:paraId="04EEB180" w14:textId="43D3F1D8" w:rsidR="00A957AF" w:rsidRDefault="00A957AF" w:rsidP="00A957AF">
      <w:pPr>
        <w:pStyle w:val="Paragraphedeliste"/>
        <w:numPr>
          <w:ilvl w:val="0"/>
          <w:numId w:val="11"/>
        </w:numPr>
        <w:spacing w:line="240" w:lineRule="auto"/>
        <w:jc w:val="both"/>
      </w:pPr>
      <w:r>
        <w:t>la situation de référence est contrôlée par un organisme accrédité selon les dispositions de la norme NF EN ISO/ CEI 17020 applicable en tant qu'organisme de type A ou équivalente, ou par un prestataire externe répondant aux exigences du 1° de l'article D. 233-6 du code de l'énergie et fait l'objet, selon le cas, d'un rapport de contrôle ou d'un rapport d'audit ;</w:t>
      </w:r>
    </w:p>
    <w:p w14:paraId="56EFCDC0" w14:textId="34F1C1CA" w:rsidR="00A957AF" w:rsidRDefault="00A957AF" w:rsidP="00A957AF">
      <w:pPr>
        <w:pStyle w:val="Paragraphedeliste"/>
        <w:numPr>
          <w:ilvl w:val="0"/>
          <w:numId w:val="11"/>
        </w:numPr>
        <w:spacing w:line="240" w:lineRule="auto"/>
        <w:jc w:val="both"/>
      </w:pPr>
      <w:r>
        <w:t>il comporte un plan de mesure et de vérification de la performance énergétique, faisant l'objet d'un bilan annuel écrit, dont le format est décrit dans le contrat. Ce bilan compare la consommation énergétique de l'année calendaire écoulée à la situation de référence décrite dans le contrat et est accompagné des éléments justificatifs de la prise en compte, le cas échéant, des paramètres d'ajustement. Il indique si la performance garantie par le contrat est respectée et dans le cas contraire le montant de la pénalité due. Le rapport annuel est transmis au bénéficiaire et mis à disposition de l'administration ;</w:t>
      </w:r>
    </w:p>
    <w:p w14:paraId="78CC239B" w14:textId="39A41F73" w:rsidR="00A957AF" w:rsidRDefault="00A957AF" w:rsidP="00A957AF">
      <w:pPr>
        <w:pStyle w:val="Paragraphedeliste"/>
        <w:numPr>
          <w:ilvl w:val="0"/>
          <w:numId w:val="11"/>
        </w:numPr>
        <w:spacing w:line="240" w:lineRule="auto"/>
        <w:jc w:val="both"/>
      </w:pPr>
      <w:r>
        <w:t>la pénalité financière prévue en cas de non atteinte de l'objectif garanti par le contrat est au moins égale à 66 % du coût total, taxes et contributions comprises, répercuté au bénéficiaire dû à l'écart de consommation constaté par rapport à l'engagement contractuel.</w:t>
      </w:r>
    </w:p>
    <w:p w14:paraId="4FF46EB2" w14:textId="343CA692" w:rsidR="00BA771F" w:rsidRPr="00BA771F" w:rsidRDefault="00BA771F" w:rsidP="00A9634D">
      <w:pPr>
        <w:pStyle w:val="Titre1"/>
        <w:spacing w:line="240" w:lineRule="auto"/>
      </w:pPr>
      <w:r w:rsidRPr="00AC6704">
        <w:fldChar w:fldCharType="begin"/>
      </w:r>
      <w:r w:rsidRPr="00BA771F">
        <w:instrText xml:space="preserve"> AUTONUMLGL </w:instrText>
      </w:r>
      <w:bookmarkStart w:id="54" w:name="_Toc112749038"/>
      <w:r w:rsidRPr="00AC6704">
        <w:fldChar w:fldCharType="end"/>
      </w:r>
      <w:r w:rsidRPr="00BA771F">
        <w:t xml:space="preserve"> </w:t>
      </w:r>
      <w:r>
        <w:t>A</w:t>
      </w:r>
      <w:r w:rsidRPr="00BA771F">
        <w:t>ssurance</w:t>
      </w:r>
      <w:r w:rsidR="00AD1AA5">
        <w:t>s</w:t>
      </w:r>
      <w:r w:rsidR="00AD1AA5">
        <w:fldChar w:fldCharType="begin"/>
      </w:r>
      <w:r w:rsidR="00AD1AA5">
        <w:instrText xml:space="preserve"> XE "</w:instrText>
      </w:r>
      <w:r w:rsidR="00AD1AA5" w:rsidRPr="009A17BE">
        <w:instrText>Assurances</w:instrText>
      </w:r>
      <w:r w:rsidR="00AD1AA5">
        <w:instrText xml:space="preserve">" \i </w:instrText>
      </w:r>
      <w:r w:rsidR="00AD1AA5">
        <w:fldChar w:fldCharType="end"/>
      </w:r>
      <w:r w:rsidRPr="00BA771F">
        <w:t xml:space="preserve"> du Maître d’ouvrage</w:t>
      </w:r>
      <w:bookmarkEnd w:id="54"/>
    </w:p>
    <w:p w14:paraId="6F478F15" w14:textId="0581A2FD" w:rsidR="00BA771F" w:rsidRPr="00D92E49" w:rsidRDefault="00BA771F" w:rsidP="00A9634D">
      <w:pPr>
        <w:shd w:val="clear" w:color="auto" w:fill="FFFFFF" w:themeFill="background1"/>
        <w:spacing w:line="240" w:lineRule="auto"/>
        <w:jc w:val="both"/>
        <w:rPr>
          <w:rFonts w:cstheme="minorHAnsi"/>
          <w:color w:val="000000" w:themeColor="text1"/>
        </w:rPr>
      </w:pPr>
      <w:r w:rsidRPr="00D92E49">
        <w:rPr>
          <w:rFonts w:cstheme="minorHAnsi"/>
          <w:color w:val="000000" w:themeColor="text1"/>
        </w:rPr>
        <w:t xml:space="preserve">Il est </w:t>
      </w:r>
      <w:r w:rsidR="00956269">
        <w:rPr>
          <w:rFonts w:cstheme="minorHAnsi"/>
          <w:color w:val="000000" w:themeColor="text1"/>
        </w:rPr>
        <w:t>nécessaire</w:t>
      </w:r>
      <w:r w:rsidRPr="00D92E49">
        <w:rPr>
          <w:rFonts w:cstheme="minorHAnsi"/>
          <w:color w:val="000000" w:themeColor="text1"/>
        </w:rPr>
        <w:t xml:space="preserve"> de bien maîtriser, tant pour les acheteurs publics que pour les opérateurs économiques, le sujet des assurances liées aux prestations objets des marchés publics. Il constitue en effet un enjeu financier majeur. Une rédaction appropriée et proportionnée des marchés sur ces points permet ainsi non seulement le respect du principe d’accès à la commande publique mais également une bonne gestion des deniers publics. </w:t>
      </w:r>
    </w:p>
    <w:p w14:paraId="27491277" w14:textId="77777777" w:rsidR="00BA771F" w:rsidRDefault="00BA771F" w:rsidP="00A9634D">
      <w:pPr>
        <w:shd w:val="clear" w:color="auto" w:fill="FFFFFF" w:themeFill="background1"/>
        <w:spacing w:line="240" w:lineRule="auto"/>
        <w:jc w:val="both"/>
        <w:rPr>
          <w:rFonts w:cstheme="minorHAnsi"/>
          <w:color w:val="000000" w:themeColor="text1"/>
        </w:rPr>
      </w:pPr>
      <w:r w:rsidRPr="00D92E49">
        <w:rPr>
          <w:rFonts w:cstheme="minorHAnsi"/>
          <w:color w:val="000000" w:themeColor="text1"/>
        </w:rPr>
        <w:lastRenderedPageBreak/>
        <w:t xml:space="preserve">Les questions relatives aux assurances dans un MPGP se posent dans des termes proches de tout marché public « classique ». Le recours à un contrat collectif d’assurance par le Maître d’Ouvrage apparaît peu pertinent compte tenu de l’absence d’allotissement. </w:t>
      </w:r>
    </w:p>
    <w:p w14:paraId="1D1FF7C9" w14:textId="43F7564B" w:rsidR="00BB3D8C" w:rsidRPr="00334362" w:rsidRDefault="00BB3D8C" w:rsidP="00A9634D">
      <w:pPr>
        <w:pStyle w:val="Titre1"/>
        <w:spacing w:line="240" w:lineRule="auto"/>
      </w:pPr>
      <w:r w:rsidRPr="0049120B">
        <w:fldChar w:fldCharType="begin"/>
      </w:r>
      <w:r w:rsidRPr="0049120B">
        <w:instrText xml:space="preserve"> AUTONUMLGL </w:instrText>
      </w:r>
      <w:bookmarkStart w:id="55" w:name="_Toc112749039"/>
      <w:r w:rsidRPr="0049120B">
        <w:fldChar w:fldCharType="end"/>
      </w:r>
      <w:r w:rsidRPr="0049120B">
        <w:t xml:space="preserve"> </w:t>
      </w:r>
      <w:r w:rsidRPr="00334362">
        <w:t>Changement de règlementation</w:t>
      </w:r>
      <w:bookmarkEnd w:id="55"/>
      <w:r w:rsidR="00AD1AA5" w:rsidRPr="00334362">
        <w:fldChar w:fldCharType="begin"/>
      </w:r>
      <w:r w:rsidR="00AD1AA5">
        <w:instrText xml:space="preserve"> XE "</w:instrText>
      </w:r>
      <w:r w:rsidR="00AD1AA5" w:rsidRPr="00334362">
        <w:instrText>Changement de règlementation</w:instrText>
      </w:r>
      <w:r w:rsidR="00AD1AA5">
        <w:instrText xml:space="preserve">" \i </w:instrText>
      </w:r>
      <w:r w:rsidR="00AD1AA5" w:rsidRPr="00334362">
        <w:fldChar w:fldCharType="end"/>
      </w:r>
    </w:p>
    <w:p w14:paraId="6E7196DC" w14:textId="77777777" w:rsidR="00BB3D8C" w:rsidRPr="008F7ECA" w:rsidRDefault="00BB3D8C" w:rsidP="00A9634D">
      <w:pPr>
        <w:shd w:val="clear" w:color="auto" w:fill="FFFFFF" w:themeFill="background1"/>
        <w:spacing w:line="240" w:lineRule="auto"/>
        <w:jc w:val="both"/>
        <w:rPr>
          <w:rStyle w:val="StyleNoir"/>
          <w:rFonts w:asciiTheme="minorHAnsi" w:hAnsiTheme="minorHAnsi" w:cstheme="minorHAnsi"/>
          <w:b/>
          <w:color w:val="000000" w:themeColor="text1"/>
          <w:sz w:val="22"/>
          <w:szCs w:val="36"/>
        </w:rPr>
      </w:pPr>
      <w:r w:rsidRPr="008F7ECA">
        <w:rPr>
          <w:rStyle w:val="StyleNoir"/>
          <w:rFonts w:asciiTheme="minorHAnsi" w:hAnsiTheme="minorHAnsi" w:cstheme="minorHAnsi"/>
          <w:color w:val="000000" w:themeColor="text1"/>
          <w:sz w:val="22"/>
        </w:rPr>
        <w:t>Le Marché, d’une durée relativement longue, expose les Parties au risque ou à l’éventualité que ses conditions d’exécution se trouvent modifiées par l’entrée en vigueur d’une réglementation nouvelle relative aux prestations incluses dans le périmètre du Marché.</w:t>
      </w:r>
    </w:p>
    <w:p w14:paraId="16B562A5" w14:textId="77777777" w:rsidR="00BB3D8C" w:rsidRPr="008F7ECA" w:rsidRDefault="00BB3D8C" w:rsidP="00A9634D">
      <w:pPr>
        <w:shd w:val="clear" w:color="auto" w:fill="FFFFFF" w:themeFill="background1"/>
        <w:spacing w:line="240" w:lineRule="auto"/>
        <w:jc w:val="both"/>
        <w:rPr>
          <w:rStyle w:val="StyleNoir"/>
          <w:rFonts w:asciiTheme="minorHAnsi" w:hAnsiTheme="minorHAnsi" w:cstheme="minorHAnsi"/>
          <w:color w:val="000000" w:themeColor="text1"/>
          <w:sz w:val="22"/>
        </w:rPr>
      </w:pPr>
      <w:r w:rsidRPr="008F7ECA">
        <w:rPr>
          <w:rStyle w:val="StyleNoir"/>
          <w:rFonts w:asciiTheme="minorHAnsi" w:hAnsiTheme="minorHAnsi" w:cstheme="minorHAnsi"/>
          <w:color w:val="000000" w:themeColor="text1"/>
          <w:sz w:val="22"/>
        </w:rPr>
        <w:t>En pratique, il convient de distinguer selon que la réglementation nouvelle entre en vigueur avant ou après la formation du Marché :</w:t>
      </w:r>
    </w:p>
    <w:p w14:paraId="47961CFF" w14:textId="29DA3992" w:rsidR="00BB3D8C" w:rsidRPr="00BB3D8C" w:rsidRDefault="00BB3D8C" w:rsidP="00A9634D">
      <w:pPr>
        <w:pStyle w:val="Paragraphedeliste"/>
        <w:numPr>
          <w:ilvl w:val="0"/>
          <w:numId w:val="39"/>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après la formation du Marché : l’article L.221-4 du Code des relations entre le public et l'administration rappelle le principe selon lequel les règlementations nouvelles (qui en gouvernent les conditions de formation et leurs effets) ne s'appliquent pas aux contrats formés avant la date de leur entrée en vigueur, sauf si la loi ou le Marché lui-même en disposent autrement ;</w:t>
      </w:r>
    </w:p>
    <w:p w14:paraId="64E3404C" w14:textId="2C5F8FEE" w:rsidR="00BB3D8C" w:rsidRPr="00BB4732" w:rsidRDefault="00BB3D8C" w:rsidP="00A9634D">
      <w:pPr>
        <w:pStyle w:val="Paragraphedeliste"/>
        <w:numPr>
          <w:ilvl w:val="0"/>
          <w:numId w:val="39"/>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avant la formation du Marché : par hypothèse, la règle énoncée à l’article L.221-4 du Code des relations entre le public et l'admini</w:t>
      </w:r>
      <w:r w:rsidRPr="00B71E05">
        <w:rPr>
          <w:rStyle w:val="StyleNoir"/>
          <w:rFonts w:asciiTheme="minorHAnsi" w:hAnsiTheme="minorHAnsi" w:cstheme="minorHAnsi"/>
          <w:color w:val="000000" w:themeColor="text1"/>
          <w:sz w:val="22"/>
        </w:rPr>
        <w:t xml:space="preserve">stration ne s’applique pas, ce qui expose </w:t>
      </w:r>
      <w:proofErr w:type="gramStart"/>
      <w:r w:rsidRPr="00B71E05">
        <w:rPr>
          <w:rStyle w:val="StyleNoir"/>
          <w:rFonts w:asciiTheme="minorHAnsi" w:hAnsiTheme="minorHAnsi" w:cstheme="minorHAnsi"/>
          <w:color w:val="000000" w:themeColor="text1"/>
          <w:sz w:val="22"/>
        </w:rPr>
        <w:t>tous les candidats</w:t>
      </w:r>
      <w:proofErr w:type="gramEnd"/>
      <w:r w:rsidRPr="00B71E05">
        <w:rPr>
          <w:rStyle w:val="StyleNoir"/>
          <w:rFonts w:asciiTheme="minorHAnsi" w:hAnsiTheme="minorHAnsi" w:cstheme="minorHAnsi"/>
          <w:color w:val="000000" w:themeColor="text1"/>
          <w:sz w:val="22"/>
        </w:rPr>
        <w:t xml:space="preserve"> au risque – le plus souvent théorique – d’un changement de réglementation entre le dépôt de leurs offres finales et l’entrée en vigueur du Marché.</w:t>
      </w:r>
    </w:p>
    <w:p w14:paraId="7D267F65" w14:textId="77777777" w:rsidR="00BB3D8C" w:rsidRPr="008F7ECA" w:rsidRDefault="00BB3D8C" w:rsidP="00A9634D">
      <w:pPr>
        <w:shd w:val="clear" w:color="auto" w:fill="FFFFFF" w:themeFill="background1"/>
        <w:spacing w:line="240" w:lineRule="auto"/>
        <w:jc w:val="both"/>
        <w:rPr>
          <w:rStyle w:val="StyleNoir"/>
          <w:rFonts w:asciiTheme="minorHAnsi" w:hAnsiTheme="minorHAnsi" w:cstheme="minorHAnsi"/>
          <w:color w:val="000000" w:themeColor="text1"/>
          <w:sz w:val="22"/>
        </w:rPr>
      </w:pPr>
      <w:r w:rsidRPr="008F7ECA">
        <w:rPr>
          <w:rStyle w:val="StyleNoir"/>
          <w:rFonts w:asciiTheme="minorHAnsi" w:hAnsiTheme="minorHAnsi" w:cstheme="minorHAnsi"/>
          <w:color w:val="000000" w:themeColor="text1"/>
          <w:sz w:val="22"/>
        </w:rPr>
        <w:t>En présence de ce risque, la pratique contractuelle majoritaire est la suivante :</w:t>
      </w:r>
    </w:p>
    <w:p w14:paraId="48F23316" w14:textId="0667F413" w:rsidR="00BB3D8C" w:rsidRPr="00BB3D8C" w:rsidRDefault="00BB3D8C" w:rsidP="00A9634D">
      <w:pPr>
        <w:pStyle w:val="Paragraphedeliste"/>
        <w:numPr>
          <w:ilvl w:val="0"/>
          <w:numId w:val="40"/>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 xml:space="preserve">il est généralement </w:t>
      </w:r>
      <w:r w:rsidR="007F434B">
        <w:rPr>
          <w:rStyle w:val="StyleNoir"/>
          <w:rFonts w:asciiTheme="minorHAnsi" w:hAnsiTheme="minorHAnsi" w:cstheme="minorHAnsi"/>
          <w:color w:val="000000" w:themeColor="text1"/>
          <w:sz w:val="22"/>
        </w:rPr>
        <w:t>considéré</w:t>
      </w:r>
      <w:r w:rsidRPr="00BB3D8C">
        <w:rPr>
          <w:rStyle w:val="StyleNoir"/>
          <w:rFonts w:asciiTheme="minorHAnsi" w:hAnsiTheme="minorHAnsi" w:cstheme="minorHAnsi"/>
          <w:color w:val="000000" w:themeColor="text1"/>
          <w:sz w:val="22"/>
        </w:rPr>
        <w:t xml:space="preserve"> que les candidats, compte tenu de leur connaissance du secteur économique concerné, s’obligent à anticiper tout changement de réglementation antérieur à la date de remise de leurs offres finales ;</w:t>
      </w:r>
    </w:p>
    <w:p w14:paraId="0E9EB454" w14:textId="5CB3A283" w:rsidR="00BB3D8C" w:rsidRPr="00BB3D8C" w:rsidRDefault="00BB3D8C" w:rsidP="00A9634D">
      <w:pPr>
        <w:pStyle w:val="Paragraphedeliste"/>
        <w:numPr>
          <w:ilvl w:val="0"/>
          <w:numId w:val="40"/>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 xml:space="preserve">il est également souvent </w:t>
      </w:r>
      <w:r w:rsidR="007F434B">
        <w:rPr>
          <w:rStyle w:val="StyleNoir"/>
          <w:rFonts w:asciiTheme="minorHAnsi" w:hAnsiTheme="minorHAnsi" w:cstheme="minorHAnsi"/>
          <w:color w:val="000000" w:themeColor="text1"/>
          <w:sz w:val="22"/>
        </w:rPr>
        <w:t>considéré</w:t>
      </w:r>
      <w:r w:rsidRPr="00BB3D8C">
        <w:rPr>
          <w:rStyle w:val="StyleNoir"/>
          <w:rFonts w:asciiTheme="minorHAnsi" w:hAnsiTheme="minorHAnsi" w:cstheme="minorHAnsi"/>
          <w:color w:val="000000" w:themeColor="text1"/>
          <w:sz w:val="22"/>
        </w:rPr>
        <w:t xml:space="preserve"> que les candidats ne peuvent en revanche </w:t>
      </w:r>
      <w:r w:rsidR="00AB7873">
        <w:rPr>
          <w:rStyle w:val="StyleNoir"/>
          <w:rFonts w:asciiTheme="minorHAnsi" w:hAnsiTheme="minorHAnsi" w:cstheme="minorHAnsi"/>
          <w:color w:val="000000" w:themeColor="text1"/>
          <w:sz w:val="22"/>
        </w:rPr>
        <w:t xml:space="preserve">être </w:t>
      </w:r>
      <w:r w:rsidR="00E63AB3">
        <w:rPr>
          <w:rStyle w:val="StyleNoir"/>
          <w:rFonts w:asciiTheme="minorHAnsi" w:hAnsiTheme="minorHAnsi" w:cstheme="minorHAnsi"/>
          <w:color w:val="000000" w:themeColor="text1"/>
          <w:sz w:val="22"/>
        </w:rPr>
        <w:t>tenus d’assumer</w:t>
      </w:r>
      <w:r w:rsidRPr="00BB3D8C">
        <w:rPr>
          <w:rStyle w:val="StyleNoir"/>
          <w:rFonts w:asciiTheme="minorHAnsi" w:hAnsiTheme="minorHAnsi" w:cstheme="minorHAnsi"/>
          <w:color w:val="000000" w:themeColor="text1"/>
          <w:sz w:val="22"/>
        </w:rPr>
        <w:t xml:space="preserve"> des changements de réglementation intervenus entre la date de dépôt de leurs offres finales et l’entrée en vigueur du Marché. Un tempérament </w:t>
      </w:r>
      <w:r>
        <w:rPr>
          <w:rStyle w:val="StyleNoir"/>
          <w:rFonts w:asciiTheme="minorHAnsi" w:hAnsiTheme="minorHAnsi" w:cstheme="minorHAnsi"/>
          <w:color w:val="000000" w:themeColor="text1"/>
          <w:sz w:val="22"/>
        </w:rPr>
        <w:t>est</w:t>
      </w:r>
      <w:r w:rsidRPr="00BB3D8C">
        <w:rPr>
          <w:rStyle w:val="StyleNoir"/>
          <w:rFonts w:asciiTheme="minorHAnsi" w:hAnsiTheme="minorHAnsi" w:cstheme="minorHAnsi"/>
          <w:color w:val="000000" w:themeColor="text1"/>
          <w:sz w:val="22"/>
        </w:rPr>
        <w:t xml:space="preserve"> apporté s’agissant des changements de réglementation </w:t>
      </w:r>
      <w:r>
        <w:rPr>
          <w:rStyle w:val="StyleNoir"/>
          <w:rFonts w:asciiTheme="minorHAnsi" w:hAnsiTheme="minorHAnsi" w:cstheme="minorHAnsi"/>
          <w:color w:val="000000" w:themeColor="text1"/>
          <w:sz w:val="22"/>
        </w:rPr>
        <w:t>prévisible</w:t>
      </w:r>
      <w:r w:rsidRPr="00BB3D8C">
        <w:rPr>
          <w:rStyle w:val="StyleNoir"/>
          <w:rFonts w:asciiTheme="minorHAnsi" w:hAnsiTheme="minorHAnsi" w:cstheme="minorHAnsi"/>
          <w:color w:val="000000" w:themeColor="text1"/>
          <w:sz w:val="22"/>
        </w:rPr>
        <w:t>.</w:t>
      </w:r>
    </w:p>
    <w:p w14:paraId="7978AC1D" w14:textId="77777777" w:rsidR="00BB3D8C" w:rsidRPr="008F7ECA" w:rsidRDefault="00BB3D8C" w:rsidP="00A9634D">
      <w:pPr>
        <w:shd w:val="clear" w:color="auto" w:fill="FFFFFF" w:themeFill="background1"/>
        <w:spacing w:line="240" w:lineRule="auto"/>
        <w:jc w:val="both"/>
        <w:rPr>
          <w:rStyle w:val="StyleNoir"/>
          <w:rFonts w:asciiTheme="minorHAnsi" w:hAnsiTheme="minorHAnsi" w:cstheme="minorHAnsi"/>
          <w:color w:val="000000" w:themeColor="text1"/>
          <w:sz w:val="22"/>
        </w:rPr>
      </w:pPr>
      <w:r w:rsidRPr="008F7ECA">
        <w:rPr>
          <w:rStyle w:val="StyleNoir"/>
          <w:rFonts w:asciiTheme="minorHAnsi" w:hAnsiTheme="minorHAnsi" w:cstheme="minorHAnsi"/>
          <w:color w:val="000000" w:themeColor="text1"/>
          <w:sz w:val="22"/>
        </w:rPr>
        <w:t>Il est possible de prévoir un partage des risques différent, susceptible de reposer :</w:t>
      </w:r>
    </w:p>
    <w:p w14:paraId="256FDE2E" w14:textId="4455D647" w:rsidR="00BB3D8C" w:rsidRPr="00BB3D8C" w:rsidRDefault="00BB3D8C" w:rsidP="00A9634D">
      <w:pPr>
        <w:pStyle w:val="Paragraphedeliste"/>
        <w:numPr>
          <w:ilvl w:val="0"/>
          <w:numId w:val="41"/>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 xml:space="preserve">sur la nature du changement de réglementation en distinguant d’une part, la prise en charge des changements de réglementation générale et, d’autre part, la prise en charge des changements de réglementation spécifique, c’est-à-dire dont le champ d’application est spécifique au domaine objet du Marché, </w:t>
      </w:r>
      <w:proofErr w:type="gramStart"/>
      <w:r w:rsidRPr="00BB3D8C">
        <w:rPr>
          <w:rStyle w:val="StyleNoir"/>
          <w:rFonts w:asciiTheme="minorHAnsi" w:hAnsiTheme="minorHAnsi" w:cstheme="minorHAnsi"/>
          <w:color w:val="000000" w:themeColor="text1"/>
          <w:sz w:val="22"/>
        </w:rPr>
        <w:t>ou</w:t>
      </w:r>
      <w:proofErr w:type="gramEnd"/>
    </w:p>
    <w:p w14:paraId="4FAB581C" w14:textId="124DB564" w:rsidR="00BB3D8C" w:rsidRPr="00BB3D8C" w:rsidRDefault="00BB3D8C" w:rsidP="00A9634D">
      <w:pPr>
        <w:pStyle w:val="Paragraphedeliste"/>
        <w:numPr>
          <w:ilvl w:val="0"/>
          <w:numId w:val="41"/>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 xml:space="preserve">sur la durée de la prise en charge du risque par le Titulaire, </w:t>
      </w:r>
      <w:proofErr w:type="gramStart"/>
      <w:r w:rsidRPr="00BB3D8C">
        <w:rPr>
          <w:rStyle w:val="StyleNoir"/>
          <w:rFonts w:asciiTheme="minorHAnsi" w:hAnsiTheme="minorHAnsi" w:cstheme="minorHAnsi"/>
          <w:color w:val="000000" w:themeColor="text1"/>
          <w:sz w:val="22"/>
        </w:rPr>
        <w:t>ou</w:t>
      </w:r>
      <w:proofErr w:type="gramEnd"/>
    </w:p>
    <w:p w14:paraId="7B601C5C" w14:textId="6F7AD3FF" w:rsidR="00BB3D8C" w:rsidRPr="00BB3D8C" w:rsidRDefault="00BB3D8C" w:rsidP="00A9634D">
      <w:pPr>
        <w:pStyle w:val="Paragraphedeliste"/>
        <w:numPr>
          <w:ilvl w:val="0"/>
          <w:numId w:val="41"/>
        </w:numPr>
        <w:shd w:val="clear" w:color="auto" w:fill="FFFFFF" w:themeFill="background1"/>
        <w:spacing w:line="240" w:lineRule="auto"/>
        <w:contextualSpacing w:val="0"/>
        <w:jc w:val="both"/>
        <w:rPr>
          <w:rStyle w:val="StyleNoir"/>
          <w:rFonts w:asciiTheme="minorHAnsi" w:hAnsiTheme="minorHAnsi" w:cstheme="minorHAnsi"/>
          <w:color w:val="000000" w:themeColor="text1"/>
          <w:sz w:val="22"/>
        </w:rPr>
      </w:pPr>
      <w:r w:rsidRPr="00BB3D8C">
        <w:rPr>
          <w:rStyle w:val="StyleNoir"/>
          <w:rFonts w:asciiTheme="minorHAnsi" w:hAnsiTheme="minorHAnsi" w:cstheme="minorHAnsi"/>
          <w:color w:val="000000" w:themeColor="text1"/>
          <w:sz w:val="22"/>
        </w:rPr>
        <w:t>sur le montant de la prise en charge du risque par le Titulaire, qui le provisionne alors partiellement.</w:t>
      </w:r>
    </w:p>
    <w:p w14:paraId="11CEF77B" w14:textId="77777777" w:rsidR="000C6A7B" w:rsidRDefault="000C6A7B">
      <w:pPr>
        <w:rPr>
          <w:b/>
          <w:bCs/>
          <w:sz w:val="36"/>
          <w:szCs w:val="36"/>
        </w:rPr>
      </w:pPr>
      <w:r>
        <w:br w:type="page"/>
      </w:r>
    </w:p>
    <w:p w14:paraId="2411FC26" w14:textId="14F4E3AC" w:rsidR="00431F91" w:rsidRPr="00373C01" w:rsidRDefault="00CC6867" w:rsidP="00A9634D">
      <w:pPr>
        <w:pStyle w:val="Titre1"/>
        <w:spacing w:line="240" w:lineRule="auto"/>
      </w:pPr>
      <w:r w:rsidRPr="00334362">
        <w:lastRenderedPageBreak/>
        <w:fldChar w:fldCharType="begin"/>
      </w:r>
      <w:r w:rsidRPr="00334362">
        <w:instrText xml:space="preserve"> AUTONUMLGL </w:instrText>
      </w:r>
      <w:bookmarkStart w:id="56" w:name="_Toc112749040"/>
      <w:r w:rsidRPr="00334362">
        <w:fldChar w:fldCharType="end"/>
      </w:r>
      <w:r w:rsidR="00AA5261">
        <w:t xml:space="preserve"> T</w:t>
      </w:r>
      <w:r w:rsidR="00431F91" w:rsidRPr="009A17BE">
        <w:t>raitement des autorisations administratives</w:t>
      </w:r>
      <w:bookmarkEnd w:id="56"/>
      <w:r w:rsidR="00AD1AA5" w:rsidRPr="00373C01">
        <w:fldChar w:fldCharType="begin"/>
      </w:r>
      <w:r w:rsidR="00AD1AA5" w:rsidRPr="00373C01">
        <w:instrText xml:space="preserve"> XE "Autorisations administratives" </w:instrText>
      </w:r>
      <w:r w:rsidR="00AD1AA5" w:rsidRPr="00373C01">
        <w:fldChar w:fldCharType="end"/>
      </w:r>
    </w:p>
    <w:p w14:paraId="6102F58D" w14:textId="0FC8B175" w:rsidR="00431F91" w:rsidRPr="008B571E" w:rsidRDefault="00431F91" w:rsidP="00A9634D">
      <w:pPr>
        <w:spacing w:after="120" w:line="240" w:lineRule="auto"/>
        <w:jc w:val="both"/>
        <w:rPr>
          <w:rFonts w:cstheme="minorHAnsi"/>
          <w:color w:val="000000" w:themeColor="text1"/>
        </w:rPr>
      </w:pPr>
      <w:r w:rsidRPr="008B571E">
        <w:rPr>
          <w:rFonts w:cstheme="minorHAnsi"/>
          <w:color w:val="000000" w:themeColor="text1"/>
        </w:rPr>
        <w:t>La réalisation du projet peut être subordonnée à l’octroi d’Autorisations Administratives particulières (telles qu’un permis de construire). Il s’agit d’un risque opérationnel que le Titulaire en charge de la conception est le mieux à même d’assumer, dans la limite des diligences raisonnablement nécessaires.</w:t>
      </w:r>
    </w:p>
    <w:p w14:paraId="49930175" w14:textId="62DD36F0" w:rsidR="00431F91" w:rsidRPr="008B571E" w:rsidRDefault="00431F91" w:rsidP="00A9634D">
      <w:pPr>
        <w:spacing w:after="120" w:line="240" w:lineRule="auto"/>
        <w:jc w:val="both"/>
        <w:rPr>
          <w:rFonts w:cstheme="minorHAnsi"/>
          <w:color w:val="000000" w:themeColor="text1"/>
        </w:rPr>
      </w:pPr>
      <w:r w:rsidRPr="008B571E">
        <w:rPr>
          <w:rFonts w:cstheme="minorHAnsi"/>
          <w:color w:val="000000" w:themeColor="text1"/>
        </w:rPr>
        <w:t>Le CCAG CPE confie ainsi au Titulaire le soin de constituer les dossiers de demande d’Autorisations Administratives et lui transfère la responsabilité associée à l’accomplissement de cette tâche.</w:t>
      </w:r>
    </w:p>
    <w:p w14:paraId="13323433" w14:textId="64ECDDFD" w:rsidR="00E63AB3" w:rsidRDefault="00431F91" w:rsidP="00A9634D">
      <w:pPr>
        <w:spacing w:after="120" w:line="240" w:lineRule="auto"/>
        <w:jc w:val="both"/>
        <w:rPr>
          <w:rFonts w:cstheme="minorHAnsi"/>
          <w:color w:val="000000" w:themeColor="text1"/>
        </w:rPr>
      </w:pPr>
      <w:r w:rsidRPr="008B571E">
        <w:rPr>
          <w:rFonts w:cstheme="minorHAnsi"/>
          <w:color w:val="000000" w:themeColor="text1"/>
        </w:rPr>
        <w:t xml:space="preserve">Cette mission confiée au Titulaire est également conforme à l’article D.2171-9 du </w:t>
      </w:r>
      <w:r w:rsidR="00721647">
        <w:rPr>
          <w:rFonts w:cstheme="minorHAnsi"/>
          <w:color w:val="000000" w:themeColor="text1"/>
        </w:rPr>
        <w:t>C</w:t>
      </w:r>
      <w:r w:rsidRPr="008B571E">
        <w:rPr>
          <w:rFonts w:cstheme="minorHAnsi"/>
          <w:color w:val="000000" w:themeColor="text1"/>
        </w:rPr>
        <w:t xml:space="preserve">ode de la commande publique qui définit le contenu des études d'avant-projet sommaire et d'avant-projet définitif confiées à l'équipe de maîtrise d'œuvre pour les marchés globaux comportant des prestations de conception d'un ouvrage de bâtiment : </w:t>
      </w:r>
    </w:p>
    <w:p w14:paraId="27ABBA2D" w14:textId="214C9D10" w:rsidR="00431F91" w:rsidRPr="008B571E" w:rsidRDefault="00431F91" w:rsidP="00E63AB3">
      <w:pPr>
        <w:pBdr>
          <w:left w:val="single" w:sz="4" w:space="4" w:color="auto"/>
        </w:pBdr>
        <w:spacing w:after="120" w:line="240" w:lineRule="auto"/>
        <w:ind w:left="708"/>
        <w:jc w:val="both"/>
        <w:rPr>
          <w:rFonts w:cstheme="minorHAnsi"/>
          <w:color w:val="000000" w:themeColor="text1"/>
        </w:rPr>
      </w:pPr>
      <w:r w:rsidRPr="008B571E">
        <w:rPr>
          <w:rFonts w:cstheme="minorHAnsi"/>
          <w:color w:val="000000" w:themeColor="text1"/>
        </w:rPr>
        <w:t>« </w:t>
      </w:r>
      <w:r w:rsidRPr="00E63AB3">
        <w:rPr>
          <w:rFonts w:cstheme="minorHAnsi"/>
          <w:i/>
          <w:color w:val="000000" w:themeColor="text1"/>
        </w:rPr>
        <w:t>Les études d'avant-projet sommaire et d'avant-projet définitif comprennent l'établissement des dossiers et les consultations relevant de la compétence de la maîtrise d'œuvre et nécessaires à l'obtention du permis de construire et des autres autorisations administratives, ainsi que l'assistance au maître d'ouvrage au cours de leur instruction</w:t>
      </w:r>
      <w:r w:rsidRPr="008B571E">
        <w:rPr>
          <w:rFonts w:cstheme="minorHAnsi"/>
          <w:color w:val="000000" w:themeColor="text1"/>
        </w:rPr>
        <w:t>. »</w:t>
      </w:r>
    </w:p>
    <w:p w14:paraId="31A76240" w14:textId="0D692FBF" w:rsidR="00BA0B9B" w:rsidRPr="00236E37" w:rsidRDefault="00236E37" w:rsidP="00A9634D">
      <w:pPr>
        <w:pStyle w:val="Titre1"/>
        <w:spacing w:line="240" w:lineRule="auto"/>
        <w:rPr>
          <w:color w:val="000000" w:themeColor="text1"/>
        </w:rPr>
      </w:pPr>
      <w:r w:rsidRPr="00236E37">
        <w:fldChar w:fldCharType="begin"/>
      </w:r>
      <w:r w:rsidRPr="00236E37">
        <w:instrText xml:space="preserve"> AUTONUMLGL </w:instrText>
      </w:r>
      <w:bookmarkStart w:id="57" w:name="_Toc112749041"/>
      <w:r w:rsidRPr="00236E37">
        <w:fldChar w:fldCharType="end"/>
      </w:r>
      <w:r w:rsidR="00AA5261">
        <w:t xml:space="preserve"> D</w:t>
      </w:r>
      <w:r w:rsidR="00BA0B9B" w:rsidRPr="009A17BE">
        <w:t>roit moral de l’architecte</w:t>
      </w:r>
      <w:r w:rsidR="00AD1AA5" w:rsidRPr="00373C01">
        <w:fldChar w:fldCharType="begin"/>
      </w:r>
      <w:r w:rsidR="00AD1AA5" w:rsidRPr="00373C01">
        <w:instrText xml:space="preserve"> XE "Architecte" \i </w:instrText>
      </w:r>
      <w:r w:rsidR="00AD1AA5" w:rsidRPr="00373C01">
        <w:fldChar w:fldCharType="end"/>
      </w:r>
      <w:r w:rsidR="00BA0B9B" w:rsidRPr="00373C01">
        <w:t xml:space="preserve"> initial</w:t>
      </w:r>
      <w:bookmarkEnd w:id="57"/>
    </w:p>
    <w:p w14:paraId="7D70FCD9" w14:textId="0C099327" w:rsidR="00BA0B9B" w:rsidRPr="0033168D" w:rsidRDefault="00BA0B9B" w:rsidP="00E63AB3">
      <w:pPr>
        <w:shd w:val="clear" w:color="auto" w:fill="FFFFFF" w:themeFill="background1"/>
        <w:spacing w:after="120" w:line="240" w:lineRule="auto"/>
        <w:jc w:val="both"/>
        <w:rPr>
          <w:rFonts w:cstheme="minorHAnsi"/>
          <w:color w:val="000000" w:themeColor="text1"/>
        </w:rPr>
      </w:pPr>
      <w:r w:rsidRPr="0033168D">
        <w:rPr>
          <w:rFonts w:cstheme="minorHAnsi"/>
          <w:color w:val="000000" w:themeColor="text1"/>
        </w:rPr>
        <w:t>En application de l’article L.111-1 du Code de la propriété intellectuelle, « </w:t>
      </w:r>
      <w:r w:rsidRPr="0033168D">
        <w:rPr>
          <w:rFonts w:cstheme="minorHAnsi"/>
          <w:i/>
          <w:color w:val="000000" w:themeColor="text1"/>
        </w:rPr>
        <w:t>l'auteur d'une œuvre de l'esprit jouit sur cette œuvre, du seul fait de sa création, d'un droit de propriété incorporelle exclusif et opposable à tous</w:t>
      </w:r>
      <w:r w:rsidRPr="0033168D">
        <w:rPr>
          <w:rFonts w:cstheme="minorHAnsi"/>
          <w:color w:val="000000" w:themeColor="text1"/>
        </w:rPr>
        <w:t xml:space="preserve"> ». L’article L.111-3 du même </w:t>
      </w:r>
      <w:r w:rsidR="00985CEE">
        <w:rPr>
          <w:rFonts w:cstheme="minorHAnsi"/>
          <w:color w:val="000000" w:themeColor="text1"/>
        </w:rPr>
        <w:t>C</w:t>
      </w:r>
      <w:r w:rsidRPr="0033168D">
        <w:rPr>
          <w:rFonts w:cstheme="minorHAnsi"/>
          <w:color w:val="000000" w:themeColor="text1"/>
        </w:rPr>
        <w:t>ode précise que « </w:t>
      </w:r>
      <w:r w:rsidRPr="0033168D">
        <w:rPr>
          <w:rFonts w:cstheme="minorHAnsi"/>
          <w:i/>
          <w:color w:val="000000" w:themeColor="text1"/>
        </w:rPr>
        <w:t>la propriété incorporelle définie par l'article L. 111-1 est indépendante de la propriété de l'objet matériel</w:t>
      </w:r>
      <w:r w:rsidRPr="0033168D">
        <w:rPr>
          <w:rFonts w:cstheme="minorHAnsi"/>
          <w:color w:val="000000" w:themeColor="text1"/>
        </w:rPr>
        <w:t> ».</w:t>
      </w:r>
    </w:p>
    <w:p w14:paraId="72A11B99" w14:textId="51062481" w:rsidR="00BA0B9B" w:rsidRPr="0033168D" w:rsidRDefault="00BA0B9B" w:rsidP="001D1503">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 xml:space="preserve">Les œuvres architecturales soulèvent </w:t>
      </w:r>
      <w:r w:rsidR="001D1503">
        <w:rPr>
          <w:rFonts w:cstheme="minorHAnsi"/>
          <w:color w:val="000000" w:themeColor="text1"/>
        </w:rPr>
        <w:t>une question</w:t>
      </w:r>
      <w:r w:rsidRPr="00E63AB3">
        <w:rPr>
          <w:rFonts w:cstheme="minorHAnsi"/>
          <w:color w:val="000000" w:themeColor="text1"/>
        </w:rPr>
        <w:t xml:space="preserve"> particulière</w:t>
      </w:r>
      <w:r w:rsidRPr="0033168D">
        <w:rPr>
          <w:rFonts w:cstheme="minorHAnsi"/>
          <w:color w:val="000000" w:themeColor="text1"/>
        </w:rPr>
        <w:t>, le droit moral de l'architecte sur son œuvre devant être concilié avec le droit de propriété du maître d’ouvrage et le caractère impératif des règles d'urbanisme.</w:t>
      </w:r>
    </w:p>
    <w:p w14:paraId="29ACA5B5" w14:textId="12EC5B94" w:rsidR="00BA0B9B" w:rsidRPr="0033168D" w:rsidRDefault="00BA0B9B" w:rsidP="001D1503">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 xml:space="preserve">En particulier, lorsque l'édifice a une </w:t>
      </w:r>
      <w:r w:rsidR="001D1503">
        <w:rPr>
          <w:rFonts w:cstheme="minorHAnsi"/>
          <w:color w:val="000000" w:themeColor="text1"/>
        </w:rPr>
        <w:t>« </w:t>
      </w:r>
      <w:r w:rsidRPr="0033168D">
        <w:rPr>
          <w:rFonts w:cstheme="minorHAnsi"/>
          <w:color w:val="000000" w:themeColor="text1"/>
        </w:rPr>
        <w:t>vocation utilitaire</w:t>
      </w:r>
      <w:r w:rsidR="001D1503">
        <w:rPr>
          <w:rFonts w:cstheme="minorHAnsi"/>
          <w:color w:val="000000" w:themeColor="text1"/>
        </w:rPr>
        <w:t> »</w:t>
      </w:r>
      <w:r w:rsidRPr="00E63AB3">
        <w:rPr>
          <w:rFonts w:cstheme="minorHAnsi"/>
          <w:color w:val="000000" w:themeColor="text1"/>
        </w:rPr>
        <w:t>,</w:t>
      </w:r>
      <w:r w:rsidRPr="0033168D">
        <w:rPr>
          <w:rFonts w:cstheme="minorHAnsi"/>
          <w:color w:val="000000" w:themeColor="text1"/>
        </w:rPr>
        <w:t xml:space="preserve"> la jurisprudence recherche un compromis entre la protection de l'œuvre et la nécessité d'adapter l'édifice à des besoins spécifiques : </w:t>
      </w:r>
    </w:p>
    <w:p w14:paraId="5F5DE499" w14:textId="1081FF9B" w:rsidR="00BA0B9B" w:rsidRPr="0033168D" w:rsidRDefault="00BA0B9B" w:rsidP="00A9634D">
      <w:pPr>
        <w:pStyle w:val="Paragraphedeliste"/>
        <w:numPr>
          <w:ilvl w:val="0"/>
          <w:numId w:val="18"/>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La Cour de cassation a ainsi jugé que « </w:t>
      </w:r>
      <w:r w:rsidRPr="0033168D">
        <w:rPr>
          <w:rFonts w:cstheme="minorHAnsi"/>
          <w:i/>
          <w:color w:val="000000" w:themeColor="text1"/>
        </w:rPr>
        <w:t>la vocation utilitaire du bâtiment commandé à un architecte interdit à celui-ci de prétendre imposer une intangibilité absolue de son œuvre, à laquelle son propriétaire est en droit d'apporter des modifications lorsque se révèle la nécessité de l'adapter à des besoins nouveaux</w:t>
      </w:r>
      <w:r w:rsidRPr="0033168D">
        <w:rPr>
          <w:rFonts w:cstheme="minorHAnsi"/>
          <w:color w:val="000000" w:themeColor="text1"/>
        </w:rPr>
        <w:t> » (Cass. 1</w:t>
      </w:r>
      <w:r w:rsidRPr="0033168D">
        <w:rPr>
          <w:rFonts w:cstheme="minorHAnsi"/>
          <w:color w:val="000000" w:themeColor="text1"/>
          <w:vertAlign w:val="superscript"/>
        </w:rPr>
        <w:t>ère</w:t>
      </w:r>
      <w:r w:rsidRPr="0033168D">
        <w:rPr>
          <w:rFonts w:cstheme="minorHAnsi"/>
          <w:color w:val="000000" w:themeColor="text1"/>
        </w:rPr>
        <w:t xml:space="preserve"> civ, 7 janvier 1992, n°90-17534) puis, dans un arrêté ultérieur, qu'« </w:t>
      </w:r>
      <w:r w:rsidRPr="0033168D">
        <w:rPr>
          <w:rFonts w:cstheme="minorHAnsi"/>
          <w:i/>
          <w:color w:val="000000" w:themeColor="text1"/>
        </w:rPr>
        <w:t>attendu que la vocation utilitaire du bâtiment commandé à un architecte interdit à celui-ci de prétendre imposer une intangibilité absolue de son œuvre, à laquelle son propriétaire est en droit d'apporter des modifications lorsque se révèle la nécessité de l'adapter à des besoins nouveaux ; qu'il importe néanmoins pour préserver l'équilibre entre les prérogatives de l'auteur et celles du propriétaire, que ces modifications n'excèdent pas ce qui est strictement nécessaire et ne soient pas disproportionnées au but poursuivi</w:t>
      </w:r>
      <w:r w:rsidRPr="0033168D">
        <w:rPr>
          <w:rFonts w:cstheme="minorHAnsi"/>
          <w:color w:val="000000" w:themeColor="text1"/>
        </w:rPr>
        <w:t> » (Cass. 1</w:t>
      </w:r>
      <w:r w:rsidRPr="0033168D">
        <w:rPr>
          <w:rFonts w:cstheme="minorHAnsi"/>
          <w:color w:val="000000" w:themeColor="text1"/>
          <w:vertAlign w:val="superscript"/>
        </w:rPr>
        <w:t>ère</w:t>
      </w:r>
      <w:r w:rsidRPr="0033168D">
        <w:rPr>
          <w:rFonts w:cstheme="minorHAnsi"/>
          <w:color w:val="000000" w:themeColor="text1"/>
        </w:rPr>
        <w:t xml:space="preserve"> civ. 11 juin 2009 n°08-14138).</w:t>
      </w:r>
    </w:p>
    <w:p w14:paraId="3017A53D" w14:textId="663791AE" w:rsidR="00BA0B9B" w:rsidRPr="0033168D" w:rsidRDefault="00BA0B9B" w:rsidP="00A9634D">
      <w:pPr>
        <w:pStyle w:val="Paragraphedeliste"/>
        <w:numPr>
          <w:ilvl w:val="0"/>
          <w:numId w:val="18"/>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Le juge administratif n'admet quant à lui « </w:t>
      </w:r>
      <w:r w:rsidRPr="0033168D">
        <w:rPr>
          <w:rFonts w:cstheme="minorHAnsi"/>
          <w:i/>
          <w:color w:val="000000" w:themeColor="text1"/>
        </w:rPr>
        <w:t>des modifications à l'ouvrage que dans la seule mesure où celles-ci sont rendues strictement indispensables par des impératifs esthétiques, techniques ou de sécurité publique, légitimés par les nécessités du service public et notamment la destination de l'ouvrage ou son adaptation à des besoins nouveaux</w:t>
      </w:r>
      <w:r w:rsidRPr="0033168D">
        <w:rPr>
          <w:rFonts w:cstheme="minorHAnsi"/>
          <w:color w:val="000000" w:themeColor="text1"/>
        </w:rPr>
        <w:t xml:space="preserve"> » (CE 11 septembre 2006, </w:t>
      </w:r>
      <w:r w:rsidRPr="0033168D">
        <w:rPr>
          <w:rFonts w:cstheme="minorHAnsi"/>
          <w:i/>
          <w:color w:val="000000" w:themeColor="text1"/>
        </w:rPr>
        <w:t xml:space="preserve">M. </w:t>
      </w:r>
      <w:proofErr w:type="spellStart"/>
      <w:r w:rsidRPr="0033168D">
        <w:rPr>
          <w:rFonts w:cstheme="minorHAnsi"/>
          <w:i/>
          <w:color w:val="000000" w:themeColor="text1"/>
        </w:rPr>
        <w:t>Agopyan</w:t>
      </w:r>
      <w:proofErr w:type="spellEnd"/>
      <w:r w:rsidRPr="0033168D">
        <w:rPr>
          <w:rFonts w:cstheme="minorHAnsi"/>
          <w:color w:val="000000" w:themeColor="text1"/>
        </w:rPr>
        <w:t xml:space="preserve">, n°265174). Il procède toutefois à un renversement de la charge de la preuve, mettant à la charge </w:t>
      </w:r>
      <w:r w:rsidRPr="0033168D">
        <w:rPr>
          <w:rFonts w:cstheme="minorHAnsi"/>
          <w:color w:val="000000" w:themeColor="text1"/>
        </w:rPr>
        <w:lastRenderedPageBreak/>
        <w:t>du maître d’ouvrage public l'obligation d'établir que la dénaturation ainsi apportée à l'œuvre de l'architecte est strictement indispensable par les impératifs dont il se prévaut.</w:t>
      </w:r>
    </w:p>
    <w:p w14:paraId="162ADEF8" w14:textId="06459919" w:rsidR="00BA0B9B" w:rsidRPr="0033168D" w:rsidRDefault="00BA0B9B" w:rsidP="001D1503">
      <w:pPr>
        <w:shd w:val="clear" w:color="auto" w:fill="FFFFFF" w:themeFill="background1"/>
        <w:spacing w:after="120" w:line="240" w:lineRule="auto"/>
        <w:jc w:val="both"/>
        <w:rPr>
          <w:rFonts w:cstheme="minorHAnsi"/>
          <w:color w:val="000000" w:themeColor="text1"/>
        </w:rPr>
      </w:pPr>
      <w:r w:rsidRPr="0033168D">
        <w:rPr>
          <w:rFonts w:cstheme="minorHAnsi"/>
          <w:color w:val="000000" w:themeColor="text1"/>
        </w:rPr>
        <w:t xml:space="preserve">Le risque que l’architecte initial </w:t>
      </w:r>
      <w:r w:rsidR="00BB4942">
        <w:rPr>
          <w:rFonts w:cstheme="minorHAnsi"/>
          <w:color w:val="000000" w:themeColor="text1"/>
        </w:rPr>
        <w:t>conteste</w:t>
      </w:r>
      <w:r w:rsidRPr="0033168D">
        <w:rPr>
          <w:rFonts w:cstheme="minorHAnsi"/>
          <w:color w:val="000000" w:themeColor="text1"/>
        </w:rPr>
        <w:t xml:space="preserve"> le projet de rénovation énergétique objet du </w:t>
      </w:r>
      <w:r w:rsidR="00BB4942">
        <w:rPr>
          <w:rFonts w:cstheme="minorHAnsi"/>
          <w:color w:val="000000" w:themeColor="text1"/>
        </w:rPr>
        <w:t>CPE</w:t>
      </w:r>
      <w:r w:rsidRPr="0033168D">
        <w:rPr>
          <w:rFonts w:cstheme="minorHAnsi"/>
          <w:color w:val="000000" w:themeColor="text1"/>
        </w:rPr>
        <w:t xml:space="preserve"> constitue un risque opérationnel que le Titulaire en charge de la conception est le mieux à même d’assumer, dans la limite des diligences raisonnablement nécessaires. Dans cette perspective, le Marché peut mettre à la charge du Titulaire le soin de prendre les dispositions nécessaires afin de s’assurer de l’accord du maître </w:t>
      </w:r>
      <w:r w:rsidRPr="001D1503">
        <w:rPr>
          <w:rFonts w:cstheme="minorHAnsi"/>
          <w:color w:val="000000" w:themeColor="text1"/>
        </w:rPr>
        <w:t>d’</w:t>
      </w:r>
      <w:r w:rsidR="00BB4942" w:rsidRPr="001D1503">
        <w:rPr>
          <w:rFonts w:cstheme="minorHAnsi"/>
          <w:color w:val="000000" w:themeColor="text1"/>
        </w:rPr>
        <w:t>œuvre</w:t>
      </w:r>
      <w:r w:rsidRPr="0033168D">
        <w:rPr>
          <w:rFonts w:cstheme="minorHAnsi"/>
          <w:color w:val="000000" w:themeColor="text1"/>
        </w:rPr>
        <w:t xml:space="preserve"> initial des Bâtiments en cas de modification de son œuvre.</w:t>
      </w:r>
    </w:p>
    <w:p w14:paraId="05B8805A" w14:textId="77777777" w:rsidR="00BA0B9B" w:rsidRPr="0033168D" w:rsidRDefault="00BA0B9B" w:rsidP="00BB4942">
      <w:pPr>
        <w:shd w:val="clear" w:color="auto" w:fill="FFFFFF" w:themeFill="background1"/>
        <w:spacing w:line="240" w:lineRule="auto"/>
        <w:rPr>
          <w:rFonts w:cstheme="minorHAnsi"/>
          <w:color w:val="000000" w:themeColor="text1"/>
        </w:rPr>
      </w:pPr>
      <w:r w:rsidRPr="0033168D">
        <w:rPr>
          <w:rFonts w:cstheme="minorHAnsi"/>
          <w:color w:val="000000" w:themeColor="text1"/>
        </w:rPr>
        <w:t>A titre complémentaire ou alternatif, il est également envisageable :</w:t>
      </w:r>
    </w:p>
    <w:p w14:paraId="1220AF46" w14:textId="5F144A60" w:rsidR="00BA0B9B" w:rsidRPr="0033168D" w:rsidRDefault="00BA0B9B" w:rsidP="00A9634D">
      <w:pPr>
        <w:pStyle w:val="Paragraphedeliste"/>
        <w:numPr>
          <w:ilvl w:val="0"/>
          <w:numId w:val="19"/>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que le Maître d’Ouvrage associe en amont le maître d’</w:t>
      </w:r>
      <w:r w:rsidR="00DB0099" w:rsidRPr="0033168D">
        <w:rPr>
          <w:rFonts w:cstheme="minorHAnsi"/>
          <w:color w:val="000000" w:themeColor="text1"/>
        </w:rPr>
        <w:t>œuvre</w:t>
      </w:r>
      <w:r w:rsidRPr="0033168D">
        <w:rPr>
          <w:rFonts w:cstheme="minorHAnsi"/>
          <w:color w:val="000000" w:themeColor="text1"/>
        </w:rPr>
        <w:t xml:space="preserve"> initial des Bâtiments à la programmation des </w:t>
      </w:r>
      <w:r w:rsidRPr="0033168D">
        <w:rPr>
          <w:rFonts w:eastAsia="Calibri" w:cstheme="minorHAnsi"/>
          <w:color w:val="000000" w:themeColor="text1"/>
        </w:rPr>
        <w:t>Actions</w:t>
      </w:r>
      <w:r w:rsidRPr="0033168D">
        <w:rPr>
          <w:rFonts w:cstheme="minorHAnsi"/>
          <w:color w:val="000000" w:themeColor="text1"/>
        </w:rPr>
        <w:t xml:space="preserve"> de Rénovation ;</w:t>
      </w:r>
    </w:p>
    <w:p w14:paraId="0AF0DB36" w14:textId="73EB74A4" w:rsidR="00BA0B9B" w:rsidRPr="0033168D" w:rsidRDefault="00BA0B9B" w:rsidP="00A9634D">
      <w:pPr>
        <w:pStyle w:val="Paragraphedeliste"/>
        <w:numPr>
          <w:ilvl w:val="0"/>
          <w:numId w:val="19"/>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que les candidats soient invités, dans le cadre de la préparation de leurs offres, à se rapprocher du maître d’</w:t>
      </w:r>
      <w:r w:rsidR="00062C1B" w:rsidRPr="0033168D">
        <w:rPr>
          <w:rFonts w:cstheme="minorHAnsi"/>
          <w:color w:val="000000" w:themeColor="text1"/>
        </w:rPr>
        <w:t>œuvre</w:t>
      </w:r>
      <w:r w:rsidRPr="0033168D">
        <w:rPr>
          <w:rFonts w:cstheme="minorHAnsi"/>
          <w:color w:val="000000" w:themeColor="text1"/>
        </w:rPr>
        <w:t xml:space="preserve"> initial des Bâtiments.</w:t>
      </w:r>
    </w:p>
    <w:p w14:paraId="7683A01C" w14:textId="5BCE06ED" w:rsidR="00BA0B9B" w:rsidRPr="00236E37" w:rsidRDefault="00236E37" w:rsidP="00A9634D">
      <w:pPr>
        <w:pStyle w:val="Titre1"/>
        <w:spacing w:line="240" w:lineRule="auto"/>
        <w:rPr>
          <w:color w:val="000000" w:themeColor="text1"/>
        </w:rPr>
      </w:pPr>
      <w:r w:rsidRPr="00373C01">
        <w:fldChar w:fldCharType="begin"/>
      </w:r>
      <w:r w:rsidRPr="00373C01">
        <w:instrText xml:space="preserve"> AUTONUMLGL </w:instrText>
      </w:r>
      <w:bookmarkStart w:id="58" w:name="_Toc112749042"/>
      <w:r w:rsidRPr="00373C01">
        <w:fldChar w:fldCharType="end"/>
      </w:r>
      <w:r w:rsidR="00AA5261">
        <w:t xml:space="preserve"> T</w:t>
      </w:r>
      <w:r w:rsidR="00765365" w:rsidRPr="009A17BE">
        <w:t xml:space="preserve">raitement </w:t>
      </w:r>
      <w:r w:rsidR="00AA5261">
        <w:t>contractuel</w:t>
      </w:r>
      <w:r w:rsidR="00765365">
        <w:t xml:space="preserve"> </w:t>
      </w:r>
      <w:r w:rsidR="00765365" w:rsidRPr="009A17BE">
        <w:t>de l</w:t>
      </w:r>
      <w:r w:rsidR="00BA0B9B" w:rsidRPr="009A17BE">
        <w:t>’amiante</w:t>
      </w:r>
      <w:bookmarkEnd w:id="58"/>
      <w:r w:rsidR="00AD1AA5" w:rsidRPr="00373C01">
        <w:fldChar w:fldCharType="begin"/>
      </w:r>
      <w:r w:rsidR="00AD1AA5" w:rsidRPr="00373C01">
        <w:instrText xml:space="preserve"> XE "Amiante" \i </w:instrText>
      </w:r>
      <w:r w:rsidR="00AD1AA5" w:rsidRPr="00373C01">
        <w:fldChar w:fldCharType="end"/>
      </w:r>
      <w:r w:rsidR="00BA0B9B" w:rsidRPr="00373C01">
        <w:t xml:space="preserve"> </w:t>
      </w:r>
    </w:p>
    <w:p w14:paraId="7AC7CD53" w14:textId="77777777" w:rsidR="00765365" w:rsidRPr="00600E4E" w:rsidRDefault="00765365" w:rsidP="00A9634D">
      <w:pPr>
        <w:spacing w:after="120" w:line="240" w:lineRule="auto"/>
        <w:jc w:val="both"/>
        <w:rPr>
          <w:rFonts w:cstheme="minorHAnsi"/>
          <w:color w:val="000000" w:themeColor="text1"/>
        </w:rPr>
      </w:pPr>
      <w:r w:rsidRPr="00600E4E">
        <w:rPr>
          <w:rFonts w:cstheme="minorHAnsi"/>
          <w:color w:val="000000" w:themeColor="text1"/>
        </w:rPr>
        <w:t>La problématique de l’amiante est un sujet central dans tous les chantiers de réhabilitation, qui touche directement et particulièrement les projets de CPE, les bâtiments les plus énergivores étant généralement les plus anciens, c’est-à-dire ceux dans lesquels la probabilité de trouver de l’amiante est la plus élevée.</w:t>
      </w:r>
    </w:p>
    <w:p w14:paraId="5E1CD50C" w14:textId="58583F19" w:rsidR="00765365" w:rsidRPr="00600E4E" w:rsidRDefault="00765365" w:rsidP="00A9634D">
      <w:pPr>
        <w:spacing w:line="240" w:lineRule="auto"/>
        <w:rPr>
          <w:rFonts w:cstheme="minorHAnsi"/>
          <w:color w:val="000000" w:themeColor="text1"/>
        </w:rPr>
      </w:pPr>
      <w:r w:rsidRPr="00600E4E">
        <w:rPr>
          <w:rFonts w:cstheme="minorHAnsi"/>
          <w:color w:val="000000" w:themeColor="text1"/>
        </w:rPr>
        <w:t>Ainsi, il n’est pas rare de découvrir des éléments amiantés en cours de chantier</w:t>
      </w:r>
      <w:r w:rsidR="00DB0099">
        <w:rPr>
          <w:rFonts w:cstheme="minorHAnsi"/>
          <w:color w:val="000000" w:themeColor="text1"/>
        </w:rPr>
        <w:t xml:space="preserve"> </w:t>
      </w:r>
      <w:r w:rsidRPr="00600E4E">
        <w:rPr>
          <w:rFonts w:cstheme="minorHAnsi"/>
          <w:color w:val="000000" w:themeColor="text1"/>
        </w:rPr>
        <w:t xml:space="preserve">CPE qui n’ont pas été identifiés par les diagnostics et repérages préalables. Il est donc indispensable que le Marché anticipe contractuellement les modalités de gestion du risque amiante, et en particulier définisse dans quelles conditions le Titulaire </w:t>
      </w:r>
      <w:proofErr w:type="gramStart"/>
      <w:r w:rsidRPr="00600E4E">
        <w:rPr>
          <w:rFonts w:cstheme="minorHAnsi"/>
          <w:color w:val="000000" w:themeColor="text1"/>
        </w:rPr>
        <w:t>sera en charge</w:t>
      </w:r>
      <w:proofErr w:type="gramEnd"/>
      <w:r w:rsidRPr="00600E4E">
        <w:rPr>
          <w:rFonts w:cstheme="minorHAnsi"/>
          <w:color w:val="000000" w:themeColor="text1"/>
        </w:rPr>
        <w:t xml:space="preserve"> de réaliser les prestations de traitement de ce risque.</w:t>
      </w:r>
    </w:p>
    <w:p w14:paraId="13261CC8" w14:textId="77777777" w:rsidR="00765365" w:rsidRPr="00600E4E" w:rsidRDefault="00765365" w:rsidP="00A9634D">
      <w:pPr>
        <w:spacing w:after="120" w:line="240" w:lineRule="auto"/>
        <w:jc w:val="both"/>
        <w:rPr>
          <w:rFonts w:cstheme="minorHAnsi"/>
          <w:color w:val="000000" w:themeColor="text1"/>
        </w:rPr>
      </w:pPr>
      <w:r w:rsidRPr="00600E4E">
        <w:rPr>
          <w:rFonts w:cstheme="minorHAnsi"/>
          <w:color w:val="000000" w:themeColor="text1"/>
        </w:rPr>
        <w:t xml:space="preserve">Plusieurs pratiques de marché permettent d’organiser la prise en charge des coûts consécutifs à la découverte d’un risque d’exposition à l’amiante en cours de chantier : </w:t>
      </w:r>
    </w:p>
    <w:p w14:paraId="382ADBF4" w14:textId="3C30EBF8" w:rsidR="00765365" w:rsidRPr="0033168D" w:rsidRDefault="00765365" w:rsidP="00DB0099">
      <w:pPr>
        <w:pStyle w:val="Paragraphedeliste"/>
        <w:numPr>
          <w:ilvl w:val="0"/>
          <w:numId w:val="19"/>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 xml:space="preserve">Prise en charge du risque par le Maître d’Ouvrage ; </w:t>
      </w:r>
    </w:p>
    <w:p w14:paraId="5F44FB6D" w14:textId="54009BB3" w:rsidR="00765365" w:rsidRPr="0033168D" w:rsidRDefault="00765365" w:rsidP="00DB0099">
      <w:pPr>
        <w:pStyle w:val="Paragraphedeliste"/>
        <w:numPr>
          <w:ilvl w:val="0"/>
          <w:numId w:val="19"/>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 xml:space="preserve">Prise en charge du risque par le Titulaire ; </w:t>
      </w:r>
    </w:p>
    <w:p w14:paraId="746E71FD" w14:textId="55C330B8" w:rsidR="00765365" w:rsidRPr="0033168D" w:rsidRDefault="00765365" w:rsidP="00DB0099">
      <w:pPr>
        <w:pStyle w:val="Paragraphedeliste"/>
        <w:numPr>
          <w:ilvl w:val="0"/>
          <w:numId w:val="19"/>
        </w:numPr>
        <w:shd w:val="clear" w:color="auto" w:fill="FFFFFF" w:themeFill="background1"/>
        <w:spacing w:after="120" w:line="240" w:lineRule="auto"/>
        <w:contextualSpacing w:val="0"/>
        <w:jc w:val="both"/>
        <w:rPr>
          <w:rFonts w:cstheme="minorHAnsi"/>
          <w:color w:val="000000" w:themeColor="text1"/>
        </w:rPr>
      </w:pPr>
      <w:r w:rsidRPr="0033168D">
        <w:rPr>
          <w:rFonts w:cstheme="minorHAnsi"/>
          <w:color w:val="000000" w:themeColor="text1"/>
        </w:rPr>
        <w:t>Partage du risque entre les Parties.</w:t>
      </w:r>
    </w:p>
    <w:p w14:paraId="4C17FE9B" w14:textId="77777777" w:rsidR="00765365" w:rsidRDefault="00765365" w:rsidP="00A9634D">
      <w:pPr>
        <w:spacing w:line="240" w:lineRule="auto"/>
        <w:jc w:val="both"/>
        <w:rPr>
          <w:rFonts w:cstheme="minorHAnsi"/>
          <w:color w:val="000000" w:themeColor="text1"/>
        </w:rPr>
      </w:pPr>
      <w:r w:rsidRPr="0033168D">
        <w:rPr>
          <w:rFonts w:cstheme="minorHAnsi"/>
          <w:color w:val="000000" w:themeColor="text1"/>
        </w:rPr>
        <w:t>Le choix entre ces différentes modalités d’organisation du risque d’exposition à l’amiante dépend notamment des sites et du niveau d’information dont dispose les Parties au moment de la passation du Marché.</w:t>
      </w:r>
    </w:p>
    <w:p w14:paraId="17D5DC24" w14:textId="09EC9921" w:rsidR="00E66733" w:rsidRPr="00E66733" w:rsidRDefault="00E66733" w:rsidP="00A9634D">
      <w:pPr>
        <w:pStyle w:val="Titre1"/>
        <w:spacing w:line="240" w:lineRule="auto"/>
      </w:pPr>
      <w:r w:rsidRPr="00E66733">
        <w:fldChar w:fldCharType="begin"/>
      </w:r>
      <w:r w:rsidRPr="00E66733">
        <w:instrText xml:space="preserve"> AUTONUMLGL </w:instrText>
      </w:r>
      <w:bookmarkStart w:id="59" w:name="_Toc112749043"/>
      <w:r w:rsidRPr="00E66733">
        <w:fldChar w:fldCharType="end"/>
      </w:r>
      <w:r w:rsidR="00AA5261">
        <w:t xml:space="preserve"> </w:t>
      </w:r>
      <w:r>
        <w:t>D</w:t>
      </w:r>
      <w:r w:rsidRPr="00E66733">
        <w:t>élais d’exécution de la Phase de Conception-Réalisation</w:t>
      </w:r>
      <w:bookmarkEnd w:id="59"/>
      <w:r w:rsidR="00655F70">
        <w:fldChar w:fldCharType="begin"/>
      </w:r>
      <w:r w:rsidR="00655F70">
        <w:instrText xml:space="preserve"> XE "</w:instrText>
      </w:r>
      <w:proofErr w:type="spellStart"/>
      <w:r w:rsidR="00655F70" w:rsidRPr="009F2768">
        <w:instrText>Délais:Délais</w:instrText>
      </w:r>
      <w:proofErr w:type="spellEnd"/>
      <w:r w:rsidR="00655F70" w:rsidRPr="009F2768">
        <w:instrText xml:space="preserve"> d’exécution de la Phase de Conception-Réalisation</w:instrText>
      </w:r>
      <w:r w:rsidR="00655F70">
        <w:instrText xml:space="preserve">" \i </w:instrText>
      </w:r>
      <w:r w:rsidR="00655F70">
        <w:fldChar w:fldCharType="end"/>
      </w:r>
    </w:p>
    <w:p w14:paraId="026B08C1" w14:textId="77777777"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 Marché est conclu pour une durée globale fixe, au sein de laquelle on distingue le plus souvent :</w:t>
      </w:r>
    </w:p>
    <w:p w14:paraId="5F3B8604"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les délais d’exécution d’une phase consacrée aux prestations de conception-réalisation. Le Marché prévoit en outre généralement une ou plusieurs dates contractuelles de Réception des prestations de réalisation ;</w:t>
      </w:r>
    </w:p>
    <w:p w14:paraId="09912040"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lastRenderedPageBreak/>
        <w:t>les délais d’exécution d’une phase consacrée aux prestations d’exploitation et de maintenance.</w:t>
      </w:r>
    </w:p>
    <w:p w14:paraId="1F8EE4BC" w14:textId="1CCC66F9"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Il s’agit bien, dans le cas précis, de délais d’exécution par Phase, et non de délais d’exécution par lots techniques et/ou nature d’ouvrages.</w:t>
      </w:r>
    </w:p>
    <w:p w14:paraId="47E9BD97" w14:textId="77777777"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Il appartient au Titulaire de veiller au respect de ces délais et de la durée du Marché ; il s’agit d’une obligation de résultat. L’un des principaux avantages du marché global est de réduire, voire de supprimer, tout risque d’interface entre le concepteur et le constructeur et, en conséquence, de réduire sinon de supprimer le risque de dérapage du calendrier d’exécution.</w:t>
      </w:r>
    </w:p>
    <w:p w14:paraId="6D1B13A8" w14:textId="77777777"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 non-respect des délais d’exécution de la Phase de Conception-Réalisation a, pour le Titulaire, les conséquences suivantes :</w:t>
      </w:r>
    </w:p>
    <w:p w14:paraId="42CE1103"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l’infliction de pénalités de retard ;</w:t>
      </w:r>
    </w:p>
    <w:p w14:paraId="766F7907"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le report de la ou des Dates Effectives de Réception, du transfert de la garde des ouvrages et du point de départ des garanties légales ;</w:t>
      </w:r>
    </w:p>
    <w:p w14:paraId="2D82F2B0" w14:textId="2CE47C37" w:rsidR="00E66733" w:rsidRPr="0033168D" w:rsidRDefault="0033439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Pr>
          <w:rFonts w:cstheme="minorHAnsi"/>
          <w:color w:val="000000" w:themeColor="text1"/>
        </w:rPr>
        <w:t xml:space="preserve">éventuellement </w:t>
      </w:r>
      <w:r w:rsidRPr="0033168D">
        <w:rPr>
          <w:rFonts w:cstheme="minorHAnsi"/>
          <w:color w:val="000000" w:themeColor="text1"/>
        </w:rPr>
        <w:t xml:space="preserve">la réduction de la durée de la Phase d’Exploitation-Maintenance </w:t>
      </w:r>
      <w:r>
        <w:rPr>
          <w:rFonts w:cstheme="minorHAnsi"/>
          <w:color w:val="000000" w:themeColor="text1"/>
        </w:rPr>
        <w:t>lorsque</w:t>
      </w:r>
      <w:r w:rsidR="00E66733" w:rsidRPr="0033168D">
        <w:rPr>
          <w:rFonts w:cstheme="minorHAnsi"/>
          <w:color w:val="000000" w:themeColor="text1"/>
        </w:rPr>
        <w:t xml:space="preserve"> la durée globale du Marché</w:t>
      </w:r>
      <w:r>
        <w:rPr>
          <w:rFonts w:cstheme="minorHAnsi"/>
          <w:color w:val="000000" w:themeColor="text1"/>
        </w:rPr>
        <w:t xml:space="preserve"> est fixe et que </w:t>
      </w:r>
      <w:r w:rsidR="00E66733" w:rsidRPr="0033168D">
        <w:rPr>
          <w:rFonts w:cstheme="minorHAnsi"/>
          <w:color w:val="000000" w:themeColor="text1"/>
        </w:rPr>
        <w:t>le Titulaire n’est chargé d’exploiter et maintenir les Installations Techniques qu’à compter de la Réception.</w:t>
      </w:r>
    </w:p>
    <w:p w14:paraId="13A50835" w14:textId="68972C61"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Il reste que certains événements ou circonstances, extérieurs au Titulaire, sont susceptibles de compromettre le respect par ce dernier de la durée et des délais stipulés au Marché. En phase de conception et de réalisation, ces événements ou circonstances sont le plus souvent désignés, par convention, comme des « Causes Légitimes ».</w:t>
      </w:r>
    </w:p>
    <w:p w14:paraId="3D388A8F" w14:textId="77777777"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Les Parties au Marché s’accordent généralement à considérer que la survenance d’un événement constitutif d’une Cause Légitime :</w:t>
      </w:r>
    </w:p>
    <w:p w14:paraId="3D28575B"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Proroge les délais contractuels,</w:t>
      </w:r>
    </w:p>
    <w:p w14:paraId="4FAC1BDE"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Ne peut donner lieu à l’application de sanctions contractuelles.</w:t>
      </w:r>
    </w:p>
    <w:p w14:paraId="18B5FD60" w14:textId="77777777" w:rsidR="00E66733" w:rsidRPr="0033168D" w:rsidRDefault="00E66733"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En ce qui concerne la rédaction du Marché :</w:t>
      </w:r>
    </w:p>
    <w:p w14:paraId="18C60AAB" w14:textId="77777777" w:rsidR="00E66733" w:rsidRPr="0033168D"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la liste exhaustive des événements réputés constitutifs d’une Cause Légitime doit être élaborée avec soin et refléter un partage des risques opérationnels du projet réaliste et performant ;</w:t>
      </w:r>
    </w:p>
    <w:p w14:paraId="0093FDD8" w14:textId="77777777" w:rsidR="00E66733" w:rsidRDefault="00E66733" w:rsidP="00A9634D">
      <w:pPr>
        <w:pStyle w:val="Paragraphedeliste"/>
        <w:numPr>
          <w:ilvl w:val="0"/>
          <w:numId w:val="15"/>
        </w:numPr>
        <w:shd w:val="clear" w:color="auto" w:fill="FFFFFF" w:themeFill="background1"/>
        <w:spacing w:before="120" w:after="120" w:line="240" w:lineRule="auto"/>
        <w:contextualSpacing w:val="0"/>
        <w:jc w:val="both"/>
        <w:rPr>
          <w:rFonts w:cstheme="minorHAnsi"/>
          <w:color w:val="000000" w:themeColor="text1"/>
        </w:rPr>
      </w:pPr>
      <w:r w:rsidRPr="0033168D">
        <w:rPr>
          <w:rFonts w:cstheme="minorHAnsi"/>
          <w:color w:val="000000" w:themeColor="text1"/>
        </w:rPr>
        <w:t>la procédure de déclaration et de reconnaissance d’une Cause Légitime doit être décrite avec précision, de sorte notamment que les Parties soient dispensées d’observer le formalisme propre à la conclusion d’un avenant.</w:t>
      </w:r>
    </w:p>
    <w:bookmarkStart w:id="60" w:name="_Ref61282290"/>
    <w:bookmarkStart w:id="61" w:name="_Toc61949486"/>
    <w:p w14:paraId="487DF207" w14:textId="1521225F" w:rsidR="00E66733" w:rsidRPr="00B13EF5" w:rsidRDefault="00E66733" w:rsidP="00A9634D">
      <w:pPr>
        <w:pStyle w:val="Titre1"/>
        <w:spacing w:line="240" w:lineRule="auto"/>
      </w:pPr>
      <w:r w:rsidRPr="00B13EF5">
        <w:fldChar w:fldCharType="begin"/>
      </w:r>
      <w:r w:rsidRPr="00064B1F">
        <w:instrText xml:space="preserve"> AUTONUMLGL </w:instrText>
      </w:r>
      <w:bookmarkStart w:id="62" w:name="_Toc112749044"/>
      <w:r w:rsidRPr="00B13EF5">
        <w:fldChar w:fldCharType="end"/>
      </w:r>
      <w:bookmarkEnd w:id="60"/>
      <w:bookmarkEnd w:id="61"/>
      <w:r w:rsidR="00AA5261">
        <w:t xml:space="preserve"> P</w:t>
      </w:r>
      <w:r w:rsidR="00062C1B" w:rsidRPr="00B13EF5">
        <w:t>énalités</w:t>
      </w:r>
      <w:bookmarkEnd w:id="62"/>
      <w:r w:rsidR="004B4BF3">
        <w:fldChar w:fldCharType="begin"/>
      </w:r>
      <w:r w:rsidR="004B4BF3">
        <w:instrText xml:space="preserve"> XE "</w:instrText>
      </w:r>
      <w:r w:rsidR="004B4BF3" w:rsidRPr="00484FFD">
        <w:instrText>Pénalités</w:instrText>
      </w:r>
      <w:r w:rsidR="004B4BF3">
        <w:instrText xml:space="preserve">" \i </w:instrText>
      </w:r>
      <w:r w:rsidR="004B4BF3">
        <w:fldChar w:fldCharType="end"/>
      </w:r>
    </w:p>
    <w:p w14:paraId="22BAD6FB" w14:textId="644559E5" w:rsidR="00E66733" w:rsidRPr="0033168D" w:rsidRDefault="00E66733" w:rsidP="00A9634D">
      <w:pPr>
        <w:shd w:val="clear" w:color="auto" w:fill="FFFFFF" w:themeFill="background1"/>
        <w:spacing w:before="120" w:line="240" w:lineRule="auto"/>
        <w:jc w:val="both"/>
        <w:rPr>
          <w:rFonts w:cstheme="minorHAnsi"/>
          <w:color w:val="000000" w:themeColor="text1"/>
        </w:rPr>
      </w:pPr>
      <w:r w:rsidRPr="0033168D">
        <w:rPr>
          <w:rFonts w:cstheme="minorHAnsi"/>
          <w:color w:val="000000" w:themeColor="text1"/>
        </w:rPr>
        <w:t xml:space="preserve">Comme dans tout marché public, il y a lieu de prévoir dans un MPGP un mécanisme </w:t>
      </w:r>
      <w:r w:rsidR="00370A6A">
        <w:rPr>
          <w:rFonts w:cstheme="minorHAnsi"/>
          <w:color w:val="000000" w:themeColor="text1"/>
        </w:rPr>
        <w:t>pragmatique</w:t>
      </w:r>
      <w:r w:rsidRPr="0033168D">
        <w:rPr>
          <w:rFonts w:cstheme="minorHAnsi"/>
          <w:color w:val="000000" w:themeColor="text1"/>
        </w:rPr>
        <w:t xml:space="preserve"> de pénalités afin de sanctionner le Titulaire en cas de non-respect de ses obligations contractuelles. Les pénalités </w:t>
      </w:r>
      <w:r w:rsidR="00370A6A">
        <w:rPr>
          <w:rFonts w:cstheme="minorHAnsi"/>
          <w:color w:val="000000" w:themeColor="text1"/>
        </w:rPr>
        <w:t>doivent</w:t>
      </w:r>
      <w:r w:rsidRPr="0033168D">
        <w:rPr>
          <w:rFonts w:cstheme="minorHAnsi"/>
          <w:color w:val="000000" w:themeColor="text1"/>
        </w:rPr>
        <w:t xml:space="preserve"> correspond</w:t>
      </w:r>
      <w:r w:rsidR="00370A6A">
        <w:rPr>
          <w:rFonts w:cstheme="minorHAnsi"/>
          <w:color w:val="000000" w:themeColor="text1"/>
        </w:rPr>
        <w:t>re, à chaque fois que possible,</w:t>
      </w:r>
      <w:r w:rsidRPr="0033168D">
        <w:rPr>
          <w:rFonts w:cstheme="minorHAnsi"/>
          <w:color w:val="000000" w:themeColor="text1"/>
        </w:rPr>
        <w:t xml:space="preserve"> à des pénalités usuelles dans un marché de travaux ou de fournitures.</w:t>
      </w:r>
    </w:p>
    <w:p w14:paraId="74D6115B" w14:textId="05BA36FD" w:rsidR="00E66733" w:rsidRDefault="00E66733" w:rsidP="00A9634D">
      <w:pPr>
        <w:shd w:val="clear" w:color="auto" w:fill="FFFFFF" w:themeFill="background1"/>
        <w:spacing w:before="120" w:line="240" w:lineRule="auto"/>
        <w:jc w:val="both"/>
        <w:rPr>
          <w:rFonts w:cstheme="minorHAnsi"/>
          <w:color w:val="000000" w:themeColor="text1"/>
        </w:rPr>
      </w:pPr>
      <w:r w:rsidRPr="0033168D">
        <w:rPr>
          <w:rFonts w:cstheme="minorHAnsi"/>
          <w:color w:val="000000" w:themeColor="text1"/>
        </w:rPr>
        <w:t>Les pénalités</w:t>
      </w:r>
      <w:r w:rsidR="00AE3931">
        <w:rPr>
          <w:rFonts w:cstheme="minorHAnsi"/>
          <w:color w:val="000000" w:themeColor="text1"/>
        </w:rPr>
        <w:t>,</w:t>
      </w:r>
      <w:r w:rsidRPr="0033168D">
        <w:rPr>
          <w:rFonts w:cstheme="minorHAnsi"/>
          <w:color w:val="000000" w:themeColor="text1"/>
        </w:rPr>
        <w:t xml:space="preserve"> qui ont par nature une double fonction de sanction et de réparation, sont forfaitaires. Leur application n’est pas conditionnée par l’existence d’un préjudice subi mais par la caractérisation d’un manquement contractuel. En contrepartie, les pénalités ont un caractère libératoire : le Maître d’Ouvrage ne peut prétendre à une réparation complémentaire dans l’hypothèse où le montant de la pénalité s’avère insuffisant pour couvrir le préjudice effectivement subi du fait du manquement contractuel qu’elle sanctionne.</w:t>
      </w:r>
    </w:p>
    <w:p w14:paraId="32EF22BA" w14:textId="08ED6A01" w:rsidR="00074F55" w:rsidRPr="0033168D" w:rsidRDefault="00074F55" w:rsidP="00A9634D">
      <w:pPr>
        <w:shd w:val="clear" w:color="auto" w:fill="FFFFFF" w:themeFill="background1"/>
        <w:spacing w:before="120" w:line="240" w:lineRule="auto"/>
        <w:jc w:val="both"/>
        <w:rPr>
          <w:rFonts w:cstheme="minorHAnsi"/>
          <w:color w:val="000000" w:themeColor="text1"/>
        </w:rPr>
      </w:pPr>
      <w:r>
        <w:lastRenderedPageBreak/>
        <w:t>Ces pénalités se distinguent dans leur objet et leur finalité des indemnités définies au titre des Objectifs de Performance garantis.</w:t>
      </w:r>
    </w:p>
    <w:p w14:paraId="139336E3" w14:textId="79031A60" w:rsidR="004B4BF3" w:rsidRDefault="00E66733" w:rsidP="002823AC">
      <w:pPr>
        <w:spacing w:line="240" w:lineRule="auto"/>
        <w:jc w:val="both"/>
      </w:pPr>
      <w:r w:rsidRPr="0033168D">
        <w:rPr>
          <w:rFonts w:cstheme="minorHAnsi"/>
          <w:color w:val="000000" w:themeColor="text1"/>
        </w:rPr>
        <w:t>La Garantie de Performance Énergétique quant à elle a par nature une fonction purement indemnitaire qui doit couvrir l’intégralité du préjudice effectivement subi par le Maître d’Ouvrage du fait de la non atteinte de la Performance Énergétique. Ainsi,</w:t>
      </w:r>
      <w:r w:rsidRPr="0033168D" w:rsidDel="001257A5">
        <w:rPr>
          <w:rFonts w:cstheme="minorHAnsi"/>
          <w:color w:val="000000" w:themeColor="text1"/>
        </w:rPr>
        <w:t xml:space="preserve"> </w:t>
      </w:r>
      <w:r w:rsidRPr="0033168D">
        <w:rPr>
          <w:rFonts w:cstheme="minorHAnsi"/>
          <w:color w:val="000000" w:themeColor="text1"/>
        </w:rPr>
        <w:t xml:space="preserve">il est important de prévoir que le caractère libératoire des pénalités ne diminue ni n’interdit pas l’application de la Garantie de Performance </w:t>
      </w:r>
      <w:r w:rsidR="004B4BF3" w:rsidRPr="0033168D">
        <w:rPr>
          <w:rFonts w:cstheme="minorHAnsi"/>
          <w:color w:val="000000" w:themeColor="text1"/>
        </w:rPr>
        <w:t>Énergétique.</w:t>
      </w:r>
    </w:p>
    <w:p w14:paraId="77961148" w14:textId="77777777" w:rsidR="00F21A16" w:rsidRPr="0033168D" w:rsidRDefault="00F21A16" w:rsidP="00F21A16">
      <w:pPr>
        <w:spacing w:line="240" w:lineRule="auto"/>
        <w:jc w:val="both"/>
      </w:pPr>
      <w:r>
        <w:t>Le CCAG CPE FNCCR prévoit</w:t>
      </w:r>
      <w:r w:rsidRPr="0033168D">
        <w:t xml:space="preserve"> un plafonnement des pénalités. L’insertion de plafonds de pénalités dépend des pratiques et de la politique du Maître d’Ouvrage dans ce domaine.</w:t>
      </w:r>
    </w:p>
    <w:p w14:paraId="5321F70F" w14:textId="77777777" w:rsidR="00F21A16" w:rsidRPr="0033168D" w:rsidRDefault="00F21A16" w:rsidP="00F21A16">
      <w:pPr>
        <w:spacing w:line="240" w:lineRule="auto"/>
        <w:jc w:val="both"/>
      </w:pPr>
      <w:r w:rsidRPr="0033168D">
        <w:t xml:space="preserve">Plusieurs paramètres sont à prendre en compte : </w:t>
      </w:r>
    </w:p>
    <w:p w14:paraId="590FD6AF" w14:textId="77777777" w:rsidR="00F21A16" w:rsidRPr="00F21A16" w:rsidRDefault="00F21A16" w:rsidP="00F21A16">
      <w:pPr>
        <w:pStyle w:val="Paragraphedeliste"/>
        <w:numPr>
          <w:ilvl w:val="0"/>
          <w:numId w:val="34"/>
        </w:numPr>
        <w:spacing w:line="240" w:lineRule="auto"/>
        <w:contextualSpacing w:val="0"/>
        <w:jc w:val="both"/>
        <w:rPr>
          <w:rFonts w:eastAsia="Calibri"/>
        </w:rPr>
      </w:pPr>
      <w:r w:rsidRPr="00F21A16">
        <w:rPr>
          <w:rFonts w:eastAsia="Calibri"/>
        </w:rPr>
        <w:t xml:space="preserve">Un plafonnement est de nature à rassurer les candidats, il leur permet d’encadrer les risques qu’ils prennent et partant de proposer des prix plus compétitifs. </w:t>
      </w:r>
    </w:p>
    <w:p w14:paraId="4FABE86A" w14:textId="77777777" w:rsidR="00F21A16" w:rsidRPr="00F21A16" w:rsidRDefault="00F21A16" w:rsidP="00F21A16">
      <w:pPr>
        <w:pStyle w:val="Paragraphedeliste"/>
        <w:numPr>
          <w:ilvl w:val="0"/>
          <w:numId w:val="34"/>
        </w:numPr>
        <w:spacing w:line="240" w:lineRule="auto"/>
        <w:contextualSpacing w:val="0"/>
        <w:jc w:val="both"/>
        <w:rPr>
          <w:rFonts w:eastAsia="Calibri"/>
        </w:rPr>
      </w:pPr>
      <w:r w:rsidRPr="00F21A16">
        <w:rPr>
          <w:rFonts w:eastAsia="Calibri"/>
        </w:rPr>
        <w:t xml:space="preserve">Il est possible de plafonner les pénalités de la Phase Conception-Réalisation et/ou les pénalités de la Phase Exploitation-Maintenance. </w:t>
      </w:r>
    </w:p>
    <w:p w14:paraId="1100197B" w14:textId="77777777" w:rsidR="00F21A16" w:rsidRPr="00F21A16" w:rsidRDefault="00F21A16" w:rsidP="00F21A16">
      <w:pPr>
        <w:pStyle w:val="Paragraphedeliste"/>
        <w:numPr>
          <w:ilvl w:val="0"/>
          <w:numId w:val="34"/>
        </w:numPr>
        <w:spacing w:line="240" w:lineRule="auto"/>
        <w:contextualSpacing w:val="0"/>
        <w:jc w:val="both"/>
        <w:rPr>
          <w:rFonts w:eastAsia="Calibri"/>
        </w:rPr>
      </w:pPr>
      <w:r w:rsidRPr="00F21A16">
        <w:rPr>
          <w:rFonts w:eastAsia="Calibri"/>
        </w:rPr>
        <w:t xml:space="preserve">Le montant de ces plafonds doit permettre au Maître d’Ouvrage de conserver un moyen de sanction dissuasif et efficace. </w:t>
      </w:r>
    </w:p>
    <w:p w14:paraId="4BDE3789" w14:textId="77777777" w:rsidR="00F21A16" w:rsidRPr="00F21A16" w:rsidRDefault="00F21A16" w:rsidP="00F21A16">
      <w:pPr>
        <w:pStyle w:val="Paragraphedeliste"/>
        <w:numPr>
          <w:ilvl w:val="0"/>
          <w:numId w:val="34"/>
        </w:numPr>
        <w:spacing w:line="240" w:lineRule="auto"/>
        <w:contextualSpacing w:val="0"/>
        <w:jc w:val="both"/>
        <w:rPr>
          <w:rFonts w:eastAsia="Calibri"/>
        </w:rPr>
      </w:pPr>
      <w:r w:rsidRPr="00F21A16">
        <w:rPr>
          <w:rFonts w:eastAsia="Calibri"/>
        </w:rPr>
        <w:t>L’introduction de plafonds de pénalités est généralement associée à une contrepartie pour le Maître d’Ouvrage : en cas d’atteinte des plafonds de pénalités, le Maître d’Ouvrage dispose de la possibilité de résilier le Marché pour faute du Titulaire.</w:t>
      </w:r>
    </w:p>
    <w:p w14:paraId="6746CFA8" w14:textId="0A15E7B1" w:rsidR="007A3574" w:rsidRPr="004D6DE6" w:rsidRDefault="007A3574" w:rsidP="00AE3931">
      <w:pPr>
        <w:pStyle w:val="Titre1"/>
        <w:spacing w:line="240" w:lineRule="auto"/>
      </w:pPr>
      <w:r>
        <w:fldChar w:fldCharType="begin"/>
      </w:r>
      <w:r>
        <w:instrText xml:space="preserve"> AUTONUMLGL </w:instrText>
      </w:r>
      <w:bookmarkStart w:id="63" w:name="_Toc112749045"/>
      <w:r>
        <w:fldChar w:fldCharType="end"/>
      </w:r>
      <w:r w:rsidR="00AE3931">
        <w:t xml:space="preserve"> </w:t>
      </w:r>
      <w:r w:rsidR="007805C8">
        <w:t>C</w:t>
      </w:r>
      <w:r w:rsidRPr="004D6DE6">
        <w:t>ontenu et caractère des prix</w:t>
      </w:r>
      <w:r w:rsidR="00F83D4A">
        <w:fldChar w:fldCharType="begin"/>
      </w:r>
      <w:r w:rsidR="00F83D4A">
        <w:instrText xml:space="preserve"> XE "</w:instrText>
      </w:r>
      <w:r w:rsidR="00F83D4A" w:rsidRPr="00F83D4A">
        <w:instrText>Prix</w:instrText>
      </w:r>
      <w:r w:rsidR="00F83D4A">
        <w:instrText xml:space="preserve">" \i </w:instrText>
      </w:r>
      <w:r w:rsidR="00F83D4A">
        <w:fldChar w:fldCharType="end"/>
      </w:r>
      <w:r w:rsidRPr="00AE3931">
        <w:t xml:space="preserve"> </w:t>
      </w:r>
      <w:r w:rsidR="00F83D4A">
        <w:t>du Marché</w:t>
      </w:r>
      <w:bookmarkEnd w:id="63"/>
    </w:p>
    <w:p w14:paraId="22993FA4" w14:textId="0847AE00" w:rsidR="007A3574" w:rsidRDefault="007A3574" w:rsidP="00A9634D">
      <w:pPr>
        <w:shd w:val="clear" w:color="auto" w:fill="FFFFFF" w:themeFill="background1"/>
        <w:spacing w:before="120" w:line="240" w:lineRule="auto"/>
        <w:jc w:val="both"/>
        <w:rPr>
          <w:rFonts w:cstheme="minorHAnsi"/>
          <w:color w:val="000000" w:themeColor="text1"/>
        </w:rPr>
      </w:pPr>
      <w:r>
        <w:rPr>
          <w:rFonts w:cstheme="minorHAnsi"/>
          <w:color w:val="000000" w:themeColor="text1"/>
        </w:rPr>
        <w:t>Le</w:t>
      </w:r>
      <w:r w:rsidRPr="004D6DE6">
        <w:rPr>
          <w:rFonts w:cstheme="minorHAnsi"/>
          <w:color w:val="000000" w:themeColor="text1"/>
        </w:rPr>
        <w:t xml:space="preserve"> Marché, en dépit de sa longue durée et de la complexité des missions confiées à son Titulaire, est conclu à prix global et forfaitaire, et que le Titulaire n’est fondé à demander une rémunération complémentaire seulement lorsque cette possibilité est expressément prévue et organisée par le Marché, la loi ou la jurisprudence.</w:t>
      </w:r>
    </w:p>
    <w:p w14:paraId="104DB083" w14:textId="757FF37B" w:rsidR="00BF38A4" w:rsidRPr="000C4FB5" w:rsidRDefault="00BF38A4" w:rsidP="00A9634D">
      <w:pPr>
        <w:pStyle w:val="Titre1"/>
        <w:spacing w:line="240" w:lineRule="auto"/>
        <w:rPr>
          <w:rStyle w:val="StyleNoir"/>
          <w:rFonts w:asciiTheme="minorHAnsi" w:hAnsiTheme="minorHAnsi"/>
          <w:b w:val="0"/>
          <w:color w:val="auto"/>
          <w:sz w:val="36"/>
          <w:szCs w:val="22"/>
        </w:rPr>
      </w:pPr>
      <w:r w:rsidRPr="00AC6704">
        <w:fldChar w:fldCharType="begin"/>
      </w:r>
      <w:r w:rsidRPr="00AC6704">
        <w:instrText xml:space="preserve"> AUTONUMLGL </w:instrText>
      </w:r>
      <w:bookmarkStart w:id="64" w:name="_Toc112749046"/>
      <w:r w:rsidRPr="00AC6704">
        <w:fldChar w:fldCharType="end"/>
      </w:r>
      <w:r w:rsidR="00334393">
        <w:t xml:space="preserve"> </w:t>
      </w:r>
      <w:r w:rsidR="0038539F">
        <w:t>D</w:t>
      </w:r>
      <w:r w:rsidRPr="009A17BE">
        <w:rPr>
          <w:rStyle w:val="StyleNoir"/>
          <w:rFonts w:asciiTheme="minorHAnsi" w:hAnsiTheme="minorHAnsi"/>
          <w:color w:val="auto"/>
          <w:sz w:val="36"/>
        </w:rPr>
        <w:t>écompte général et définitif</w:t>
      </w:r>
      <w:bookmarkEnd w:id="64"/>
      <w:r w:rsidR="00FE2228" w:rsidRPr="00334362">
        <w:rPr>
          <w:rStyle w:val="StyleNoir"/>
          <w:rFonts w:asciiTheme="minorHAnsi" w:hAnsiTheme="minorHAnsi"/>
          <w:color w:val="auto"/>
          <w:sz w:val="36"/>
        </w:rPr>
        <w:fldChar w:fldCharType="begin"/>
      </w:r>
      <w:r w:rsidR="00FE2228" w:rsidRPr="00373C01">
        <w:instrText xml:space="preserve"> XE "D</w:instrText>
      </w:r>
      <w:r w:rsidR="00FE2228" w:rsidRPr="00373C01">
        <w:rPr>
          <w:rStyle w:val="StyleNoir"/>
          <w:rFonts w:asciiTheme="minorHAnsi" w:hAnsiTheme="minorHAnsi"/>
          <w:color w:val="auto"/>
          <w:sz w:val="36"/>
        </w:rPr>
        <w:instrText>écompte général et définitif</w:instrText>
      </w:r>
      <w:r w:rsidR="00FE2228" w:rsidRPr="00373C01">
        <w:instrText xml:space="preserve">" \i </w:instrText>
      </w:r>
      <w:r w:rsidR="00FE2228" w:rsidRPr="00334362">
        <w:rPr>
          <w:rStyle w:val="StyleNoir"/>
          <w:rFonts w:asciiTheme="minorHAnsi" w:hAnsiTheme="minorHAnsi"/>
          <w:color w:val="auto"/>
          <w:sz w:val="36"/>
        </w:rPr>
        <w:fldChar w:fldCharType="end"/>
      </w:r>
    </w:p>
    <w:p w14:paraId="0F79436C" w14:textId="77777777" w:rsidR="00BF38A4" w:rsidRPr="0033168D"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 décompte général et définitif constitue la dernière phase de l’exécution du Marché. Il a pour objet de récapituler l’ensemble des éléments financiers constitutifs de cette exécution et de permettre ainsi qu’il soit procédé au calcul et au paiement du solde.</w:t>
      </w:r>
    </w:p>
    <w:p w14:paraId="3A1C31B2" w14:textId="5B858CDB" w:rsidR="00BF38A4" w:rsidRPr="0033168D" w:rsidRDefault="00BF38A4" w:rsidP="002C5F51">
      <w:pPr>
        <w:pStyle w:val="Titre2"/>
      </w:pPr>
      <w:r>
        <w:fldChar w:fldCharType="begin"/>
      </w:r>
      <w:r>
        <w:instrText xml:space="preserve"> AUTONUMLGL </w:instrText>
      </w:r>
      <w:bookmarkStart w:id="65" w:name="_Toc112749047"/>
      <w:r>
        <w:fldChar w:fldCharType="end"/>
      </w:r>
      <w:r w:rsidRPr="0033168D">
        <w:t>Enjeux de l’établissement du décompte général et définitif</w:t>
      </w:r>
      <w:bookmarkEnd w:id="65"/>
    </w:p>
    <w:p w14:paraId="66AB3AA0" w14:textId="77777777" w:rsidR="00BF38A4" w:rsidRPr="0033168D"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L’enjeu pour les parties est essentiel. Il est de jurisprudence constante que le solde du décompte détermine la situation créancière ou débitrice du titulaire à l’égard du maître de l’ouvrage. Le décompte général constitue un tout unique et indivisible de sorte qu’aucune obligation contractuelle ne saurait produire des effets financiers entre les parties en dehors de ce compte terminal et exclusif. Outre son caractère indivisible, le décompte général et définitif est gouverné par un principe d’intangibilité entendu de manière très rigoureuse par le juge administratif de telle sorte qu’il rend impossible sa révision, à quelques exceptions près.</w:t>
      </w:r>
    </w:p>
    <w:p w14:paraId="51F4F878" w14:textId="4DADDF3A" w:rsidR="00BF38A4" w:rsidRPr="0033168D" w:rsidRDefault="00BF38A4" w:rsidP="002C5F51">
      <w:pPr>
        <w:pStyle w:val="Titre2"/>
      </w:pPr>
      <w:r>
        <w:lastRenderedPageBreak/>
        <w:fldChar w:fldCharType="begin"/>
      </w:r>
      <w:r>
        <w:instrText xml:space="preserve"> AUTONUMLGL </w:instrText>
      </w:r>
      <w:bookmarkStart w:id="66" w:name="_Toc112749048"/>
      <w:r>
        <w:fldChar w:fldCharType="end"/>
      </w:r>
      <w:r w:rsidRPr="0033168D">
        <w:t>Particularités du décompte d’un MPGP</w:t>
      </w:r>
      <w:bookmarkEnd w:id="66"/>
    </w:p>
    <w:p w14:paraId="3DED0676" w14:textId="29BC0719" w:rsidR="00BF38A4" w:rsidRPr="0033168D" w:rsidRDefault="00BF38A4" w:rsidP="00A9634D">
      <w:pPr>
        <w:shd w:val="clear" w:color="auto" w:fill="FFFFFF" w:themeFill="background1"/>
        <w:spacing w:line="240" w:lineRule="auto"/>
        <w:jc w:val="both"/>
        <w:rPr>
          <w:rFonts w:cstheme="minorHAnsi"/>
          <w:color w:val="000000" w:themeColor="text1"/>
          <w:u w:val="single"/>
        </w:rPr>
      </w:pPr>
      <w:r w:rsidRPr="0033168D">
        <w:rPr>
          <w:rFonts w:cstheme="minorHAnsi"/>
          <w:color w:val="000000" w:themeColor="text1"/>
          <w:u w:val="single"/>
        </w:rPr>
        <w:t xml:space="preserve">a) </w:t>
      </w:r>
      <w:r w:rsidR="00E04C10">
        <w:rPr>
          <w:rFonts w:cstheme="minorHAnsi"/>
          <w:color w:val="000000" w:themeColor="text1"/>
          <w:u w:val="single"/>
        </w:rPr>
        <w:t>I</w:t>
      </w:r>
      <w:r w:rsidRPr="0033168D">
        <w:rPr>
          <w:rFonts w:cstheme="minorHAnsi"/>
          <w:color w:val="000000" w:themeColor="text1"/>
          <w:u w:val="single"/>
        </w:rPr>
        <w:t xml:space="preserve">napplicabilité des stipulations du CCAG </w:t>
      </w:r>
      <w:r w:rsidR="009250DF">
        <w:rPr>
          <w:rFonts w:cstheme="minorHAnsi"/>
          <w:color w:val="000000" w:themeColor="text1"/>
          <w:u w:val="single"/>
        </w:rPr>
        <w:t>T</w:t>
      </w:r>
      <w:r w:rsidRPr="0033168D">
        <w:rPr>
          <w:rFonts w:cstheme="minorHAnsi"/>
          <w:color w:val="000000" w:themeColor="text1"/>
          <w:u w:val="single"/>
        </w:rPr>
        <w:t>ravaux</w:t>
      </w:r>
    </w:p>
    <w:p w14:paraId="491DA1CD" w14:textId="1F835CD2" w:rsidR="00BF38A4" w:rsidRPr="00C34CA7"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 xml:space="preserve">Traditionnellement, dans les marchés allotis, la procédure d’établissement de ce décompte est </w:t>
      </w:r>
      <w:r w:rsidRPr="00C34CA7">
        <w:rPr>
          <w:rFonts w:cstheme="minorHAnsi"/>
          <w:color w:val="000000" w:themeColor="text1"/>
        </w:rPr>
        <w:t xml:space="preserve">organisée par l’article 13 du CCAG </w:t>
      </w:r>
      <w:r w:rsidR="009250DF" w:rsidRPr="00C34CA7">
        <w:rPr>
          <w:rFonts w:cstheme="minorHAnsi"/>
          <w:color w:val="000000" w:themeColor="text1"/>
        </w:rPr>
        <w:t>T</w:t>
      </w:r>
      <w:r w:rsidRPr="00C34CA7">
        <w:rPr>
          <w:rFonts w:cstheme="minorHAnsi"/>
          <w:color w:val="000000" w:themeColor="text1"/>
        </w:rPr>
        <w:t xml:space="preserve">ravaux – et qui n’est pas applicable en l’espèce pour les raisons exposées </w:t>
      </w:r>
      <w:r w:rsidR="00F65525" w:rsidRPr="00C34CA7">
        <w:rPr>
          <w:rFonts w:cstheme="minorHAnsi"/>
          <w:i/>
          <w:color w:val="000000" w:themeColor="text1"/>
        </w:rPr>
        <w:t>supra</w:t>
      </w:r>
      <w:r w:rsidRPr="00C34CA7">
        <w:rPr>
          <w:rFonts w:cstheme="minorHAnsi"/>
          <w:color w:val="000000" w:themeColor="text1"/>
        </w:rPr>
        <w:t xml:space="preserve">. Cette procédure s’articule entre trois étapes clés qui visent à assurer la participation de chaque acteur de l’exécution des travaux, et notamment du </w:t>
      </w:r>
      <w:r w:rsidR="00EF0FB7" w:rsidRPr="00C34CA7">
        <w:rPr>
          <w:rFonts w:cstheme="minorHAnsi"/>
          <w:color w:val="000000" w:themeColor="text1"/>
        </w:rPr>
        <w:t>m</w:t>
      </w:r>
      <w:r w:rsidRPr="00C34CA7">
        <w:rPr>
          <w:rFonts w:cstheme="minorHAnsi"/>
          <w:color w:val="000000" w:themeColor="text1"/>
        </w:rPr>
        <w:t>aître d’</w:t>
      </w:r>
      <w:r w:rsidR="0072297D" w:rsidRPr="00C34CA7">
        <w:rPr>
          <w:rFonts w:cstheme="minorHAnsi"/>
          <w:color w:val="000000" w:themeColor="text1"/>
        </w:rPr>
        <w:t>œuvre</w:t>
      </w:r>
      <w:r w:rsidRPr="00C34CA7">
        <w:rPr>
          <w:rFonts w:cstheme="minorHAnsi"/>
          <w:color w:val="000000" w:themeColor="text1"/>
        </w:rPr>
        <w:t>, à l’établissement du décompte général.</w:t>
      </w:r>
    </w:p>
    <w:p w14:paraId="10D51383" w14:textId="3BA6F955" w:rsidR="00BF38A4" w:rsidRPr="0033168D" w:rsidRDefault="00BF38A4" w:rsidP="00A9634D">
      <w:pPr>
        <w:shd w:val="clear" w:color="auto" w:fill="FFFFFF" w:themeFill="background1"/>
        <w:spacing w:line="240" w:lineRule="auto"/>
        <w:jc w:val="both"/>
        <w:rPr>
          <w:rFonts w:cstheme="minorHAnsi"/>
          <w:color w:val="000000" w:themeColor="text1"/>
        </w:rPr>
      </w:pPr>
      <w:r w:rsidRPr="00C34CA7">
        <w:rPr>
          <w:rFonts w:cstheme="minorHAnsi"/>
          <w:color w:val="000000" w:themeColor="text1"/>
        </w:rPr>
        <w:t xml:space="preserve">La procédure d’établissement du décompte général et définitif obéit à une dynamique de navette entre les différents intervenants de l’exécution du marché. Son organisation vise à permettre et à encadrer le dialogue entre l’entrepreneur, le </w:t>
      </w:r>
      <w:r w:rsidR="00F65525" w:rsidRPr="00C34CA7">
        <w:rPr>
          <w:rFonts w:cstheme="minorHAnsi"/>
          <w:color w:val="000000" w:themeColor="text1"/>
        </w:rPr>
        <w:t>m</w:t>
      </w:r>
      <w:r w:rsidRPr="00C34CA7">
        <w:rPr>
          <w:rFonts w:cstheme="minorHAnsi"/>
          <w:color w:val="000000" w:themeColor="text1"/>
        </w:rPr>
        <w:t>aître d’</w:t>
      </w:r>
      <w:r w:rsidR="0072297D" w:rsidRPr="00C34CA7">
        <w:rPr>
          <w:rFonts w:cstheme="minorHAnsi"/>
          <w:color w:val="000000" w:themeColor="text1"/>
        </w:rPr>
        <w:t>œuvre</w:t>
      </w:r>
      <w:r w:rsidRPr="00C34CA7">
        <w:rPr>
          <w:rFonts w:cstheme="minorHAnsi"/>
          <w:color w:val="000000" w:themeColor="text1"/>
        </w:rPr>
        <w:t xml:space="preserve"> et le Maître d’Ouvrage. En effet, la procédure décrite par l’article 13 du CCAG </w:t>
      </w:r>
      <w:r w:rsidR="009250DF" w:rsidRPr="00C34CA7">
        <w:rPr>
          <w:rFonts w:cstheme="minorHAnsi"/>
          <w:color w:val="000000" w:themeColor="text1"/>
        </w:rPr>
        <w:t>T</w:t>
      </w:r>
      <w:r w:rsidRPr="00C34CA7">
        <w:rPr>
          <w:rFonts w:cstheme="minorHAnsi"/>
          <w:color w:val="000000" w:themeColor="text1"/>
        </w:rPr>
        <w:t>ravaux organise les</w:t>
      </w:r>
      <w:r w:rsidRPr="0033168D">
        <w:rPr>
          <w:rFonts w:cstheme="minorHAnsi"/>
          <w:color w:val="000000" w:themeColor="text1"/>
        </w:rPr>
        <w:t xml:space="preserve"> modalités d’intervention de chacun des acteurs clés de l’exécution du marché. Elle prévoit également les délais dans lesquels chacun doit intervenir de manière à éviter un blocage de la procédure et faciliter ainsi le paiement final du Titulaire puisque la date de réception du décompte général et définitif constitue le point de départ du délai global de paiement.</w:t>
      </w:r>
    </w:p>
    <w:p w14:paraId="595A3A7E" w14:textId="0F604F08" w:rsidR="00BF38A4" w:rsidRPr="0033168D"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 xml:space="preserve">En présence d’un MPGP, dans lequel le Titulaire inclus la maîtrise d’œuvre de l’opération, qui n’est dès lors pas distincte de/des entreprise(s), la procédure prévue au CCAG </w:t>
      </w:r>
      <w:r w:rsidR="009250DF">
        <w:rPr>
          <w:rFonts w:cstheme="minorHAnsi"/>
          <w:color w:val="000000" w:themeColor="text1"/>
        </w:rPr>
        <w:t>T</w:t>
      </w:r>
      <w:r w:rsidRPr="0033168D">
        <w:rPr>
          <w:rFonts w:cstheme="minorHAnsi"/>
          <w:color w:val="000000" w:themeColor="text1"/>
        </w:rPr>
        <w:t xml:space="preserve">ravaux, qui repose essentiellement sur la distinction des fonctions de maîtrise d’œuvre et d’entreprise, ne peut être mise en œuvre. Des stipulations </w:t>
      </w:r>
      <w:r w:rsidRPr="0033168D">
        <w:rPr>
          <w:rFonts w:cstheme="minorHAnsi"/>
          <w:i/>
          <w:color w:val="000000" w:themeColor="text1"/>
        </w:rPr>
        <w:t>ad hoc</w:t>
      </w:r>
      <w:r w:rsidRPr="0033168D">
        <w:rPr>
          <w:rFonts w:cstheme="minorHAnsi"/>
          <w:color w:val="000000" w:themeColor="text1"/>
        </w:rPr>
        <w:t xml:space="preserve"> sont donc stipulées dans le présent CCAG CPE pour organiser, dans ce cadre particulier, l’établissement des comptes entre les parties. </w:t>
      </w:r>
    </w:p>
    <w:p w14:paraId="7582CC8F" w14:textId="77777777" w:rsidR="00BF38A4" w:rsidRPr="0033168D" w:rsidRDefault="00BF38A4" w:rsidP="00A9634D">
      <w:pPr>
        <w:shd w:val="clear" w:color="auto" w:fill="FFFFFF" w:themeFill="background1"/>
        <w:spacing w:line="240" w:lineRule="auto"/>
        <w:jc w:val="both"/>
        <w:rPr>
          <w:rFonts w:cstheme="minorHAnsi"/>
          <w:color w:val="000000" w:themeColor="text1"/>
          <w:u w:val="single"/>
        </w:rPr>
      </w:pPr>
      <w:r w:rsidRPr="0033168D">
        <w:rPr>
          <w:rFonts w:cstheme="minorHAnsi"/>
          <w:color w:val="000000" w:themeColor="text1"/>
          <w:u w:val="single"/>
        </w:rPr>
        <w:t>b) Procédure unique ou procédures distinctes à chaque Phase</w:t>
      </w:r>
    </w:p>
    <w:p w14:paraId="35EE9385" w14:textId="77777777" w:rsidR="00BF38A4" w:rsidRPr="0033168D"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Le présent CCAG CPE prévoit deux procédures de règlement des comptes distinctes, l’une au terme de la Phase de Conception-Réalisation et des opérations de Réception, l’autre au terme de la Phase d’Exploitation-Maintenance, de telle sorte que la maîtrise d’œuvre et les entreprises de travaux se trouvent désintéressées à un horizon raisonnable. Il revient alors au groupement momentané d’entreprises Titulaire, qui associe en général le Maître d’Œuvre, le(s) constructeur(s) et l’exploitant de régler, dans leur convention de groupement, les conséquences de la non-atteinte éventuelle des Objectifs de performance, dont le Titulaire ne se trouve nullement exonéré par l’établissement d’un décompte général et définitif de la Phase de Conception-Réalisation (étant précisé qu’il n’appartient pas, en principe, au Maître d’Ouvrage d’identifier le membre du groupement fautif à cet égard).</w:t>
      </w:r>
    </w:p>
    <w:p w14:paraId="40EAF1DE" w14:textId="6F6AF223" w:rsidR="00BF38A4" w:rsidRPr="0033168D" w:rsidRDefault="00BF38A4" w:rsidP="00A9634D">
      <w:pPr>
        <w:shd w:val="clear" w:color="auto" w:fill="FFFFFF" w:themeFill="background1"/>
        <w:spacing w:line="240" w:lineRule="auto"/>
        <w:jc w:val="both"/>
        <w:rPr>
          <w:rFonts w:cstheme="minorHAnsi"/>
          <w:color w:val="000000" w:themeColor="text1"/>
        </w:rPr>
      </w:pPr>
      <w:r w:rsidRPr="0033168D">
        <w:rPr>
          <w:rFonts w:cstheme="minorHAnsi"/>
          <w:color w:val="000000" w:themeColor="text1"/>
        </w:rPr>
        <w:t xml:space="preserve">Il reste que les règles régissant le décompte ne sont pas d’ordre public, si bien que les Parties peuvent choisir d’y déroger (CE 3 novembre 2014, </w:t>
      </w:r>
      <w:r w:rsidRPr="0033168D">
        <w:rPr>
          <w:rFonts w:cstheme="minorHAnsi"/>
          <w:i/>
          <w:color w:val="000000" w:themeColor="text1"/>
        </w:rPr>
        <w:t xml:space="preserve">Société </w:t>
      </w:r>
      <w:proofErr w:type="spellStart"/>
      <w:r w:rsidRPr="0033168D">
        <w:rPr>
          <w:rFonts w:cstheme="minorHAnsi"/>
          <w:i/>
          <w:color w:val="000000" w:themeColor="text1"/>
        </w:rPr>
        <w:t>Bancillon</w:t>
      </w:r>
      <w:proofErr w:type="spellEnd"/>
      <w:r w:rsidRPr="0033168D">
        <w:rPr>
          <w:rFonts w:cstheme="minorHAnsi"/>
          <w:i/>
          <w:color w:val="000000" w:themeColor="text1"/>
        </w:rPr>
        <w:t xml:space="preserve"> BTP</w:t>
      </w:r>
      <w:r w:rsidRPr="0033168D">
        <w:rPr>
          <w:rFonts w:cstheme="minorHAnsi"/>
          <w:color w:val="000000" w:themeColor="text1"/>
        </w:rPr>
        <w:t>, n°372040). Le Maître d’Ouvrage est alors libre d’organiser contractuellement la procédure de règlement des comptes de son choix. Il peut ainsi envisager une procédure de règlement des comptes unique, au terme du Marché. Cette alternative présente l’inconvénient, dans les contrats de longue durée, de reporter le règlement définitif des comptes du Marché au terme de la Phase d’Exploitation-Maintenance alors que les prestations de conception et de réalisation, par hypothèse, sont généralement achevées de longue date, au risque de laisser la maîtrise d’œuvre et les entreprises de travaux dans une incertitude financière relative.</w:t>
      </w:r>
    </w:p>
    <w:p w14:paraId="28AD5883" w14:textId="77777777" w:rsidR="000C6A7B" w:rsidRDefault="000C6A7B">
      <w:pPr>
        <w:rPr>
          <w:b/>
          <w:bCs/>
          <w:sz w:val="36"/>
          <w:szCs w:val="36"/>
        </w:rPr>
      </w:pPr>
      <w:r>
        <w:br w:type="page"/>
      </w:r>
    </w:p>
    <w:p w14:paraId="1ACC9C4A" w14:textId="4BF8F3CA" w:rsidR="007805C8" w:rsidRPr="0038539F" w:rsidRDefault="007805C8" w:rsidP="00A9634D">
      <w:pPr>
        <w:pStyle w:val="Titre1"/>
        <w:spacing w:line="240" w:lineRule="auto"/>
      </w:pPr>
      <w:r>
        <w:lastRenderedPageBreak/>
        <w:fldChar w:fldCharType="begin"/>
      </w:r>
      <w:r>
        <w:instrText xml:space="preserve"> AUTONUMLGL </w:instrText>
      </w:r>
      <w:bookmarkStart w:id="67" w:name="_Toc112749049"/>
      <w:r>
        <w:fldChar w:fldCharType="end"/>
      </w:r>
      <w:r w:rsidR="00461770">
        <w:t xml:space="preserve"> </w:t>
      </w:r>
      <w:r w:rsidR="00461770" w:rsidRPr="00E55FAD">
        <w:t>R</w:t>
      </w:r>
      <w:r w:rsidRPr="00E55FAD">
        <w:t>éception</w:t>
      </w:r>
      <w:r w:rsidRPr="00A277A8">
        <w:t xml:space="preserve"> des Actions de Rénovation et garanties</w:t>
      </w:r>
      <w:bookmarkEnd w:id="67"/>
    </w:p>
    <w:p w14:paraId="369489B1" w14:textId="1F9750F7" w:rsidR="007805C8" w:rsidRPr="00334393" w:rsidRDefault="007805C8" w:rsidP="00A9634D">
      <w:pPr>
        <w:shd w:val="clear" w:color="auto" w:fill="FFFFFF" w:themeFill="background1"/>
        <w:spacing w:after="120" w:line="240" w:lineRule="auto"/>
        <w:jc w:val="both"/>
        <w:rPr>
          <w:rFonts w:cstheme="minorHAnsi"/>
          <w:color w:val="000000" w:themeColor="text1"/>
        </w:rPr>
      </w:pPr>
      <w:r w:rsidRPr="00334393">
        <w:rPr>
          <w:rFonts w:cstheme="minorHAnsi"/>
          <w:color w:val="000000" w:themeColor="text1"/>
        </w:rPr>
        <w:t xml:space="preserve">Le Marché doit prévoir les modalités de Réception des prestations de conception et de réalisation, qui seront fonction (i) de la nature des </w:t>
      </w:r>
      <w:r w:rsidR="00B84154">
        <w:rPr>
          <w:rFonts w:cstheme="minorHAnsi"/>
          <w:color w:val="000000" w:themeColor="text1"/>
        </w:rPr>
        <w:t xml:space="preserve">Actions de Rénovation </w:t>
      </w:r>
      <w:r w:rsidRPr="00334393">
        <w:rPr>
          <w:rFonts w:cstheme="minorHAnsi"/>
          <w:color w:val="000000" w:themeColor="text1"/>
        </w:rPr>
        <w:t>envisagé</w:t>
      </w:r>
      <w:r w:rsidR="00B84154">
        <w:rPr>
          <w:rFonts w:cstheme="minorHAnsi"/>
          <w:color w:val="000000" w:themeColor="text1"/>
        </w:rPr>
        <w:t>e</w:t>
      </w:r>
      <w:r w:rsidRPr="00334393">
        <w:rPr>
          <w:rFonts w:cstheme="minorHAnsi"/>
          <w:color w:val="000000" w:themeColor="text1"/>
        </w:rPr>
        <w:t>s et (ii) des moyens de la Maîtrise d’Ouvrage, qui ne peut s’appuyer sur une maîtrise d’œuvre distincte de l’entreprise de travaux, et peut ainsi ressentir le besoin de recourir à un assistant à maîtrise d’ouvrage (AMO).</w:t>
      </w:r>
    </w:p>
    <w:p w14:paraId="09621EE7" w14:textId="0562B8D7" w:rsidR="007805C8" w:rsidRPr="0033168D" w:rsidRDefault="007805C8" w:rsidP="00A9634D">
      <w:pPr>
        <w:pStyle w:val="Paragraphedeliste"/>
        <w:numPr>
          <w:ilvl w:val="0"/>
          <w:numId w:val="24"/>
        </w:numPr>
        <w:shd w:val="clear" w:color="auto" w:fill="FFFFFF" w:themeFill="background1"/>
        <w:spacing w:after="120" w:line="240" w:lineRule="auto"/>
        <w:ind w:hanging="357"/>
        <w:contextualSpacing w:val="0"/>
        <w:jc w:val="both"/>
        <w:rPr>
          <w:rFonts w:cstheme="minorHAnsi"/>
          <w:color w:val="000000" w:themeColor="text1"/>
        </w:rPr>
      </w:pPr>
      <w:r w:rsidRPr="0033168D">
        <w:rPr>
          <w:rFonts w:cstheme="minorHAnsi"/>
          <w:color w:val="000000" w:themeColor="text1"/>
        </w:rPr>
        <w:t xml:space="preserve">L’opération de </w:t>
      </w:r>
      <w:r w:rsidR="00B84154">
        <w:rPr>
          <w:rFonts w:cstheme="minorHAnsi"/>
          <w:color w:val="000000" w:themeColor="text1"/>
        </w:rPr>
        <w:t>R</w:t>
      </w:r>
      <w:r w:rsidRPr="0033168D">
        <w:rPr>
          <w:rFonts w:cstheme="minorHAnsi"/>
          <w:color w:val="000000" w:themeColor="text1"/>
        </w:rPr>
        <w:t xml:space="preserve">éception est un évènement clé dans les relations entre le Maître d’ouvrage et le Titulaire, en constatant la réalisation technique </w:t>
      </w:r>
      <w:r w:rsidR="00B84154">
        <w:rPr>
          <w:rFonts w:cstheme="minorHAnsi"/>
          <w:color w:val="000000" w:themeColor="text1"/>
        </w:rPr>
        <w:t>des Actions de Rénovation</w:t>
      </w:r>
      <w:r w:rsidRPr="0033168D">
        <w:rPr>
          <w:rFonts w:cstheme="minorHAnsi"/>
          <w:color w:val="000000" w:themeColor="text1"/>
        </w:rPr>
        <w:t>. Elle doit être distinguée du règlement des comptes, puisqu’elle marque la fin des obligations contractuelles sur le plan technique, tandis que le règlement du décompte général et définitif indique l’achèvement des relations contractuelles sur le plan financier.</w:t>
      </w:r>
    </w:p>
    <w:p w14:paraId="14483FCA" w14:textId="6687B7A0" w:rsidR="007805C8" w:rsidRPr="0033168D" w:rsidRDefault="007805C8" w:rsidP="00A9634D">
      <w:pPr>
        <w:pStyle w:val="Paragraphedeliste"/>
        <w:numPr>
          <w:ilvl w:val="0"/>
          <w:numId w:val="24"/>
        </w:numPr>
        <w:shd w:val="clear" w:color="auto" w:fill="FFFFFF" w:themeFill="background1"/>
        <w:spacing w:after="120" w:line="240" w:lineRule="auto"/>
        <w:ind w:hanging="357"/>
        <w:contextualSpacing w:val="0"/>
        <w:jc w:val="both"/>
        <w:rPr>
          <w:rFonts w:cstheme="minorHAnsi"/>
          <w:color w:val="000000" w:themeColor="text1"/>
        </w:rPr>
      </w:pPr>
      <w:r w:rsidRPr="0033168D">
        <w:rPr>
          <w:rFonts w:cstheme="minorHAnsi"/>
          <w:color w:val="000000" w:themeColor="text1"/>
        </w:rPr>
        <w:t xml:space="preserve">La </w:t>
      </w:r>
      <w:r w:rsidR="0076090B">
        <w:rPr>
          <w:rFonts w:cstheme="minorHAnsi"/>
          <w:color w:val="000000" w:themeColor="text1"/>
        </w:rPr>
        <w:t>R</w:t>
      </w:r>
      <w:r w:rsidRPr="0033168D">
        <w:rPr>
          <w:rFonts w:cstheme="minorHAnsi"/>
          <w:color w:val="000000" w:themeColor="text1"/>
        </w:rPr>
        <w:t>éception ouvre la période des garanties légales qui, selon la jurisprudence administrative, relève des « </w:t>
      </w:r>
      <w:r w:rsidRPr="0033168D">
        <w:rPr>
          <w:rFonts w:cstheme="minorHAnsi"/>
          <w:i/>
          <w:color w:val="000000" w:themeColor="text1"/>
        </w:rPr>
        <w:t>principes dont s’inspirent les articles 1792 et 2270 du Code civil</w:t>
      </w:r>
      <w:r w:rsidRPr="0033168D">
        <w:rPr>
          <w:rFonts w:cstheme="minorHAnsi"/>
          <w:color w:val="000000" w:themeColor="text1"/>
        </w:rPr>
        <w:t xml:space="preserve"> » (garantie décennale et de bon fonctionnement). La </w:t>
      </w:r>
      <w:r w:rsidR="0076090B">
        <w:rPr>
          <w:rFonts w:cstheme="minorHAnsi"/>
          <w:color w:val="000000" w:themeColor="text1"/>
        </w:rPr>
        <w:t>R</w:t>
      </w:r>
      <w:r w:rsidRPr="0033168D">
        <w:rPr>
          <w:rFonts w:cstheme="minorHAnsi"/>
          <w:color w:val="000000" w:themeColor="text1"/>
        </w:rPr>
        <w:t xml:space="preserve">éception, manifestation de la volonté du Maître d’ouvrage, est un acte juridique unilatéral, dont les modalités, précisées dans le </w:t>
      </w:r>
      <w:r w:rsidR="0076090B">
        <w:rPr>
          <w:rFonts w:cstheme="minorHAnsi"/>
          <w:color w:val="000000" w:themeColor="text1"/>
        </w:rPr>
        <w:t>M</w:t>
      </w:r>
      <w:r w:rsidRPr="0033168D">
        <w:rPr>
          <w:rFonts w:cstheme="minorHAnsi"/>
          <w:color w:val="000000" w:themeColor="text1"/>
        </w:rPr>
        <w:t xml:space="preserve">arché, doivent être respectées. Elle implique en principe que les </w:t>
      </w:r>
      <w:r w:rsidR="0076090B">
        <w:rPr>
          <w:rFonts w:cstheme="minorHAnsi"/>
          <w:color w:val="000000" w:themeColor="text1"/>
        </w:rPr>
        <w:t>Actions de Rénovation</w:t>
      </w:r>
      <w:r w:rsidRPr="0033168D">
        <w:rPr>
          <w:rFonts w:cstheme="minorHAnsi"/>
          <w:color w:val="000000" w:themeColor="text1"/>
        </w:rPr>
        <w:t xml:space="preserve"> soient en état d’être reçus. En ce cas, la </w:t>
      </w:r>
      <w:r w:rsidR="00427BCF">
        <w:rPr>
          <w:rFonts w:cstheme="minorHAnsi"/>
          <w:color w:val="000000" w:themeColor="text1"/>
        </w:rPr>
        <w:t>R</w:t>
      </w:r>
      <w:r w:rsidRPr="0033168D">
        <w:rPr>
          <w:rFonts w:cstheme="minorHAnsi"/>
          <w:color w:val="000000" w:themeColor="text1"/>
        </w:rPr>
        <w:t xml:space="preserve">éception est un droit pour </w:t>
      </w:r>
      <w:r w:rsidR="00427BCF">
        <w:rPr>
          <w:rFonts w:cstheme="minorHAnsi"/>
          <w:color w:val="000000" w:themeColor="text1"/>
        </w:rPr>
        <w:t>le Titulaire</w:t>
      </w:r>
      <w:r w:rsidRPr="0033168D">
        <w:rPr>
          <w:rFonts w:cstheme="minorHAnsi"/>
          <w:color w:val="000000" w:themeColor="text1"/>
        </w:rPr>
        <w:t xml:space="preserve"> et son prononcé est une obligation pour le Maître d’ouvrage. À défaut d’acte de </w:t>
      </w:r>
      <w:r w:rsidR="00427BCF">
        <w:rPr>
          <w:rFonts w:cstheme="minorHAnsi"/>
          <w:color w:val="000000" w:themeColor="text1"/>
        </w:rPr>
        <w:t>R</w:t>
      </w:r>
      <w:r w:rsidRPr="0033168D">
        <w:rPr>
          <w:rFonts w:cstheme="minorHAnsi"/>
          <w:color w:val="000000" w:themeColor="text1"/>
        </w:rPr>
        <w:t xml:space="preserve">éception, la jurisprudence analyse l’importance de la prise de possession par le Maître d’ouvrage et peut admettre la </w:t>
      </w:r>
      <w:r w:rsidR="00427BCF">
        <w:rPr>
          <w:rFonts w:cstheme="minorHAnsi"/>
          <w:color w:val="000000" w:themeColor="text1"/>
        </w:rPr>
        <w:t>R</w:t>
      </w:r>
      <w:r w:rsidRPr="0033168D">
        <w:rPr>
          <w:rFonts w:cstheme="minorHAnsi"/>
          <w:color w:val="000000" w:themeColor="text1"/>
        </w:rPr>
        <w:t>éception tacite.</w:t>
      </w:r>
    </w:p>
    <w:p w14:paraId="32C3E0E1" w14:textId="3ECFFDA6" w:rsidR="007805C8" w:rsidRPr="00334393" w:rsidRDefault="007805C8" w:rsidP="00A9634D">
      <w:pPr>
        <w:shd w:val="clear" w:color="auto" w:fill="FFFFFF" w:themeFill="background1"/>
        <w:spacing w:after="120" w:line="240" w:lineRule="auto"/>
        <w:jc w:val="both"/>
        <w:rPr>
          <w:rFonts w:cstheme="minorHAnsi"/>
          <w:color w:val="000000" w:themeColor="text1"/>
        </w:rPr>
      </w:pPr>
      <w:r w:rsidRPr="00334393">
        <w:rPr>
          <w:rFonts w:cstheme="minorHAnsi"/>
          <w:color w:val="000000" w:themeColor="text1"/>
        </w:rPr>
        <w:t xml:space="preserve">En ce qui concerne le cas particulier de la </w:t>
      </w:r>
      <w:r w:rsidR="008E74B3">
        <w:rPr>
          <w:rFonts w:cstheme="minorHAnsi"/>
          <w:color w:val="000000" w:themeColor="text1"/>
        </w:rPr>
        <w:t>R</w:t>
      </w:r>
      <w:r w:rsidRPr="00334393">
        <w:rPr>
          <w:rFonts w:cstheme="minorHAnsi"/>
          <w:color w:val="000000" w:themeColor="text1"/>
        </w:rPr>
        <w:t xml:space="preserve">éception dans les </w:t>
      </w:r>
      <w:r w:rsidR="008E74B3">
        <w:rPr>
          <w:rFonts w:cstheme="minorHAnsi"/>
          <w:color w:val="000000" w:themeColor="text1"/>
        </w:rPr>
        <w:t>MPGP</w:t>
      </w:r>
      <w:r w:rsidRPr="00334393">
        <w:rPr>
          <w:rFonts w:cstheme="minorHAnsi"/>
          <w:color w:val="000000" w:themeColor="text1"/>
        </w:rPr>
        <w:t>, il convient de préciser :</w:t>
      </w:r>
    </w:p>
    <w:p w14:paraId="1F96EFEE" w14:textId="3D1DFFA0" w:rsidR="007805C8" w:rsidRPr="0033168D" w:rsidRDefault="007805C8" w:rsidP="00A9634D">
      <w:pPr>
        <w:pStyle w:val="Paragraphedeliste"/>
        <w:numPr>
          <w:ilvl w:val="0"/>
          <w:numId w:val="24"/>
        </w:numPr>
        <w:shd w:val="clear" w:color="auto" w:fill="FFFFFF" w:themeFill="background1"/>
        <w:spacing w:after="120" w:line="240" w:lineRule="auto"/>
        <w:ind w:hanging="357"/>
        <w:contextualSpacing w:val="0"/>
        <w:jc w:val="both"/>
        <w:rPr>
          <w:rFonts w:cstheme="minorHAnsi"/>
          <w:color w:val="000000" w:themeColor="text1"/>
        </w:rPr>
      </w:pPr>
      <w:r w:rsidRPr="0033168D">
        <w:rPr>
          <w:rFonts w:cstheme="minorHAnsi"/>
          <w:color w:val="000000" w:themeColor="text1"/>
        </w:rPr>
        <w:t xml:space="preserve">qu’aucune disposition du Code de la commande publique n’impose une </w:t>
      </w:r>
      <w:r w:rsidR="00AE6A3E">
        <w:rPr>
          <w:rFonts w:cstheme="minorHAnsi"/>
          <w:color w:val="000000" w:themeColor="text1"/>
        </w:rPr>
        <w:t>R</w:t>
      </w:r>
      <w:r w:rsidRPr="0033168D">
        <w:rPr>
          <w:rFonts w:cstheme="minorHAnsi"/>
          <w:color w:val="000000" w:themeColor="text1"/>
        </w:rPr>
        <w:t xml:space="preserve">éception unique des </w:t>
      </w:r>
      <w:r w:rsidR="00A42675" w:rsidRPr="0033168D">
        <w:rPr>
          <w:rFonts w:cstheme="minorHAnsi"/>
          <w:color w:val="000000" w:themeColor="text1"/>
        </w:rPr>
        <w:t xml:space="preserve">prestations de conception-réalisation </w:t>
      </w:r>
      <w:r w:rsidRPr="0033168D">
        <w:rPr>
          <w:rFonts w:cstheme="minorHAnsi"/>
          <w:color w:val="000000" w:themeColor="text1"/>
        </w:rPr>
        <w:t xml:space="preserve">dans le cadre d’un MPGP et des </w:t>
      </w:r>
      <w:r w:rsidR="00AE6A3E">
        <w:rPr>
          <w:rFonts w:cstheme="minorHAnsi"/>
          <w:color w:val="000000" w:themeColor="text1"/>
        </w:rPr>
        <w:t>R</w:t>
      </w:r>
      <w:r w:rsidRPr="0033168D">
        <w:rPr>
          <w:rFonts w:cstheme="minorHAnsi"/>
          <w:color w:val="000000" w:themeColor="text1"/>
        </w:rPr>
        <w:t xml:space="preserve">éceptions partielles peuvent être envisagées. Bien que ne comportant qu’un lot unique, au sens de l’article L.2113-10 du Code de la commande publique, un MPGP peut </w:t>
      </w:r>
      <w:r w:rsidR="00334393">
        <w:rPr>
          <w:rFonts w:cstheme="minorHAnsi"/>
          <w:color w:val="000000" w:themeColor="text1"/>
        </w:rPr>
        <w:t xml:space="preserve">comporter plusieurs sites ou </w:t>
      </w:r>
      <w:r w:rsidRPr="0033168D">
        <w:rPr>
          <w:rFonts w:cstheme="minorHAnsi"/>
          <w:color w:val="000000" w:themeColor="text1"/>
        </w:rPr>
        <w:t xml:space="preserve">prévoir plusieurs lots techniques, répondant à des exigences contractuelles distinctes propres à chaque nature de prestations, y compris en matière de </w:t>
      </w:r>
      <w:r w:rsidR="00AE6A3E">
        <w:rPr>
          <w:rFonts w:cstheme="minorHAnsi"/>
          <w:color w:val="000000" w:themeColor="text1"/>
        </w:rPr>
        <w:t>R</w:t>
      </w:r>
      <w:r w:rsidRPr="0033168D">
        <w:rPr>
          <w:rFonts w:cstheme="minorHAnsi"/>
          <w:color w:val="000000" w:themeColor="text1"/>
        </w:rPr>
        <w:t>éception ;</w:t>
      </w:r>
    </w:p>
    <w:p w14:paraId="7C7F4F47" w14:textId="0B376216" w:rsidR="007805C8" w:rsidRPr="0033168D" w:rsidRDefault="007805C8" w:rsidP="00A9634D">
      <w:pPr>
        <w:pStyle w:val="Paragraphedeliste"/>
        <w:numPr>
          <w:ilvl w:val="0"/>
          <w:numId w:val="24"/>
        </w:numPr>
        <w:shd w:val="clear" w:color="auto" w:fill="FFFFFF" w:themeFill="background1"/>
        <w:spacing w:after="120" w:line="240" w:lineRule="auto"/>
        <w:ind w:hanging="357"/>
        <w:contextualSpacing w:val="0"/>
        <w:jc w:val="both"/>
        <w:rPr>
          <w:rFonts w:cstheme="minorHAnsi"/>
          <w:color w:val="000000" w:themeColor="text1"/>
        </w:rPr>
      </w:pPr>
      <w:r w:rsidRPr="0033168D">
        <w:rPr>
          <w:rFonts w:cstheme="minorHAnsi"/>
          <w:color w:val="000000" w:themeColor="text1"/>
        </w:rPr>
        <w:t xml:space="preserve">que la </w:t>
      </w:r>
      <w:r w:rsidR="00A42675">
        <w:rPr>
          <w:rFonts w:cstheme="minorHAnsi"/>
          <w:color w:val="000000" w:themeColor="text1"/>
        </w:rPr>
        <w:t>R</w:t>
      </w:r>
      <w:r w:rsidRPr="0033168D">
        <w:rPr>
          <w:rFonts w:cstheme="minorHAnsi"/>
          <w:color w:val="000000" w:themeColor="text1"/>
        </w:rPr>
        <w:t xml:space="preserve">éception des prestations de conception-réalisation n’exonère nullement le Titulaire de son obligation d’atteindre les </w:t>
      </w:r>
      <w:r w:rsidR="00BD632D">
        <w:rPr>
          <w:rFonts w:cstheme="minorHAnsi"/>
          <w:color w:val="000000" w:themeColor="text1"/>
        </w:rPr>
        <w:t>O</w:t>
      </w:r>
      <w:r w:rsidRPr="0033168D">
        <w:rPr>
          <w:rFonts w:cstheme="minorHAnsi"/>
          <w:color w:val="000000" w:themeColor="text1"/>
        </w:rPr>
        <w:t xml:space="preserve">bjectifs de </w:t>
      </w:r>
      <w:r w:rsidR="00BD632D">
        <w:rPr>
          <w:rFonts w:cstheme="minorHAnsi"/>
          <w:color w:val="000000" w:themeColor="text1"/>
        </w:rPr>
        <w:t>P</w:t>
      </w:r>
      <w:r w:rsidRPr="0033168D">
        <w:rPr>
          <w:rFonts w:cstheme="minorHAnsi"/>
          <w:color w:val="000000" w:themeColor="text1"/>
        </w:rPr>
        <w:t>erformance.</w:t>
      </w:r>
    </w:p>
    <w:p w14:paraId="2DA20759" w14:textId="17ABEB26" w:rsidR="0099129F" w:rsidRPr="00A277A8" w:rsidRDefault="0099129F" w:rsidP="002A04CA">
      <w:pPr>
        <w:pStyle w:val="Titre1"/>
        <w:spacing w:line="240" w:lineRule="auto"/>
        <w:jc w:val="both"/>
        <w:rPr>
          <w:smallCaps/>
          <w:szCs w:val="22"/>
        </w:rPr>
      </w:pPr>
      <w:r>
        <w:fldChar w:fldCharType="begin"/>
      </w:r>
      <w:r>
        <w:instrText xml:space="preserve"> AUTONUMLGL </w:instrText>
      </w:r>
      <w:bookmarkStart w:id="68" w:name="_Toc112749050"/>
      <w:r>
        <w:fldChar w:fldCharType="end"/>
      </w:r>
      <w:r>
        <w:t xml:space="preserve"> </w:t>
      </w:r>
      <w:r w:rsidR="00B667D8">
        <w:t>Durée et d</w:t>
      </w:r>
      <w:r w:rsidRPr="00A277A8">
        <w:t>élais</w:t>
      </w:r>
      <w:r w:rsidR="00FE2228">
        <w:fldChar w:fldCharType="begin"/>
      </w:r>
      <w:r w:rsidR="00FE2228">
        <w:instrText xml:space="preserve"> XE "</w:instrText>
      </w:r>
      <w:proofErr w:type="spellStart"/>
      <w:r w:rsidR="00FE2228" w:rsidRPr="000717DA">
        <w:instrText>Délais:Délais</w:instrText>
      </w:r>
      <w:proofErr w:type="spellEnd"/>
      <w:r w:rsidR="00FE2228" w:rsidRPr="000717DA">
        <w:instrText xml:space="preserve"> d'exécution</w:instrText>
      </w:r>
      <w:r w:rsidR="00FE2228">
        <w:instrText xml:space="preserve">" </w:instrText>
      </w:r>
      <w:r w:rsidR="00FE2228">
        <w:fldChar w:fldCharType="end"/>
      </w:r>
      <w:r w:rsidRPr="00A277A8">
        <w:t xml:space="preserve"> d’exécution de la Phase d’Exploitation-Maintenance</w:t>
      </w:r>
      <w:bookmarkEnd w:id="68"/>
    </w:p>
    <w:p w14:paraId="3C00A12C" w14:textId="77777777" w:rsidR="0099129F" w:rsidRPr="0033168D" w:rsidRDefault="0099129F" w:rsidP="00A9634D">
      <w:pPr>
        <w:spacing w:line="240" w:lineRule="auto"/>
        <w:jc w:val="both"/>
      </w:pPr>
      <w:r w:rsidRPr="0033168D">
        <w:t>Il est souvent prévu que la Phase d’Exploitation-Maintenance débute dès le début du Marché : soit dès la Date d’Entrée en Vigueur du Marché, soit à compter l’Ordre de Service de démarrage des Actions de Rénovation.</w:t>
      </w:r>
    </w:p>
    <w:p w14:paraId="7F33E587" w14:textId="77777777" w:rsidR="0099129F" w:rsidRPr="0033168D" w:rsidRDefault="0099129F" w:rsidP="00A9634D">
      <w:pPr>
        <w:spacing w:line="240" w:lineRule="auto"/>
        <w:jc w:val="both"/>
      </w:pPr>
      <w:r w:rsidRPr="0033168D">
        <w:t>Dans ce cas la Phase d’Exploitation-Maintenance est décomposé en 2 Périodes :</w:t>
      </w:r>
    </w:p>
    <w:p w14:paraId="04F9765D" w14:textId="2BBC876D" w:rsidR="0099129F" w:rsidRPr="00334393" w:rsidRDefault="0099129F" w:rsidP="00A9634D">
      <w:pPr>
        <w:pStyle w:val="Paragraphedeliste"/>
        <w:numPr>
          <w:ilvl w:val="0"/>
          <w:numId w:val="34"/>
        </w:numPr>
        <w:spacing w:line="240" w:lineRule="auto"/>
        <w:contextualSpacing w:val="0"/>
        <w:jc w:val="both"/>
        <w:rPr>
          <w:rFonts w:eastAsia="Calibri"/>
        </w:rPr>
      </w:pPr>
      <w:r w:rsidRPr="00334393">
        <w:rPr>
          <w:rFonts w:eastAsia="Calibri"/>
        </w:rPr>
        <w:t xml:space="preserve">Période A : Les prestations portent sur les Installations Techniques Existantes, jusqu’à la </w:t>
      </w:r>
      <w:r w:rsidR="002A04CA">
        <w:rPr>
          <w:rFonts w:eastAsia="Calibri"/>
        </w:rPr>
        <w:t>Réception des Actions de Rénovation</w:t>
      </w:r>
      <w:r w:rsidRPr="00334393">
        <w:rPr>
          <w:rFonts w:eastAsia="Calibri"/>
        </w:rPr>
        <w:t xml:space="preserve"> ; </w:t>
      </w:r>
    </w:p>
    <w:p w14:paraId="713E8D3F" w14:textId="6B06396E" w:rsidR="0099129F" w:rsidRPr="00334393" w:rsidRDefault="0099129F" w:rsidP="00A9634D">
      <w:pPr>
        <w:pStyle w:val="Paragraphedeliste"/>
        <w:numPr>
          <w:ilvl w:val="0"/>
          <w:numId w:val="34"/>
        </w:numPr>
        <w:spacing w:line="240" w:lineRule="auto"/>
        <w:contextualSpacing w:val="0"/>
        <w:jc w:val="both"/>
        <w:rPr>
          <w:rFonts w:eastAsia="Calibri"/>
        </w:rPr>
      </w:pPr>
      <w:r w:rsidRPr="00334393">
        <w:rPr>
          <w:rFonts w:eastAsia="Calibri"/>
        </w:rPr>
        <w:t xml:space="preserve">Période B : </w:t>
      </w:r>
      <w:r w:rsidR="00E4636B">
        <w:rPr>
          <w:rFonts w:eastAsia="Calibri"/>
        </w:rPr>
        <w:t>A compter de la Réception des Actions de Rénovation</w:t>
      </w:r>
      <w:r w:rsidRPr="00334393">
        <w:rPr>
          <w:rFonts w:eastAsia="Calibri"/>
        </w:rPr>
        <w:t xml:space="preserve">, les prestations portent sur les Installations Techniques Existantes et Nouvelles. </w:t>
      </w:r>
    </w:p>
    <w:p w14:paraId="07BDA453" w14:textId="77777777" w:rsidR="0099129F" w:rsidRDefault="0099129F" w:rsidP="00A9634D">
      <w:pPr>
        <w:spacing w:line="240" w:lineRule="auto"/>
        <w:jc w:val="both"/>
        <w:rPr>
          <w:i/>
        </w:rPr>
      </w:pPr>
      <w:r w:rsidRPr="0033168D">
        <w:t xml:space="preserve">A titre alternatif, il est possible de prévoir que la Phase d’Exploitation-Maintenance ne comporte qu’une Période B et débute ainsi postérieurement à la Réception des Actions de Rénovation. Dans ce </w:t>
      </w:r>
      <w:r w:rsidRPr="0033168D">
        <w:lastRenderedPageBreak/>
        <w:t>cas, il est nécessaire d’organiser contractuellement la répartition des risques entre l’exploitant en place et le Titulaire pendant la Phase de réalisation des Actions de Rénovation.</w:t>
      </w:r>
      <w:r w:rsidRPr="0033168D">
        <w:rPr>
          <w:i/>
        </w:rPr>
        <w:t xml:space="preserve"> </w:t>
      </w:r>
    </w:p>
    <w:p w14:paraId="0551C93E" w14:textId="20EEB786" w:rsidR="0099129F" w:rsidRPr="0033168D" w:rsidRDefault="0099129F" w:rsidP="00A9634D">
      <w:pPr>
        <w:spacing w:line="240" w:lineRule="auto"/>
        <w:jc w:val="both"/>
      </w:pPr>
      <w:r w:rsidRPr="0033168D">
        <w:t>Les circonstances ou événements constitutifs d’une « Cause exonératoire » sont l’équivalent, pour les prestations de la Phase Exploitation-Maintenance, des « Causes Légitimes » évoquées s’agissant de la Phase de Conception-Réalisation.</w:t>
      </w:r>
    </w:p>
    <w:p w14:paraId="779F1C58" w14:textId="5F8ED066" w:rsidR="00027D02" w:rsidRDefault="00CC78B5" w:rsidP="00A9634D">
      <w:pPr>
        <w:pStyle w:val="Titre1"/>
        <w:spacing w:line="240" w:lineRule="auto"/>
      </w:pPr>
      <w:r>
        <w:fldChar w:fldCharType="begin"/>
      </w:r>
      <w:r>
        <w:instrText xml:space="preserve"> AUTONUMLGL </w:instrText>
      </w:r>
      <w:bookmarkStart w:id="69" w:name="_Toc112749051"/>
      <w:r>
        <w:fldChar w:fldCharType="end"/>
      </w:r>
      <w:r w:rsidR="00027D02">
        <w:t xml:space="preserve"> Compte GER</w:t>
      </w:r>
      <w:bookmarkEnd w:id="69"/>
      <w:r w:rsidR="00655F70">
        <w:fldChar w:fldCharType="begin"/>
      </w:r>
      <w:r w:rsidR="00655F70">
        <w:instrText xml:space="preserve"> XE "</w:instrText>
      </w:r>
      <w:r w:rsidR="00655F70" w:rsidRPr="009A17BE">
        <w:instrText>GER</w:instrText>
      </w:r>
      <w:r w:rsidR="00655F70">
        <w:instrText xml:space="preserve">" \i </w:instrText>
      </w:r>
      <w:r w:rsidR="00655F70">
        <w:fldChar w:fldCharType="end"/>
      </w:r>
    </w:p>
    <w:p w14:paraId="1CAF0890" w14:textId="22DFDC64" w:rsidR="00027D02" w:rsidRDefault="00027D02" w:rsidP="00A9634D">
      <w:pPr>
        <w:spacing w:line="240" w:lineRule="auto"/>
        <w:jc w:val="both"/>
      </w:pPr>
      <w:r>
        <w:t xml:space="preserve">Les modalités de gestion du Compte GER </w:t>
      </w:r>
      <w:r w:rsidR="005751B5">
        <w:t>prévues au CCAG</w:t>
      </w:r>
      <w:r>
        <w:t xml:space="preserve"> </w:t>
      </w:r>
      <w:r w:rsidR="00B667D8">
        <w:t xml:space="preserve">CPE FNCCR </w:t>
      </w:r>
      <w:r w:rsidRPr="00F83D4A">
        <w:t>sont sécurisantes pour le Maître d’Ouvrage et par conséquent souvent pratiquées dans le secteur public</w:t>
      </w:r>
      <w:r w:rsidR="005751B5">
        <w:t> :</w:t>
      </w:r>
    </w:p>
    <w:p w14:paraId="01E82D05" w14:textId="4C9D9E72" w:rsidR="00027D02" w:rsidRDefault="00027D02" w:rsidP="00A9634D">
      <w:pPr>
        <w:pStyle w:val="Paragraphedeliste"/>
        <w:numPr>
          <w:ilvl w:val="0"/>
          <w:numId w:val="35"/>
        </w:numPr>
        <w:spacing w:line="240" w:lineRule="auto"/>
        <w:contextualSpacing w:val="0"/>
        <w:jc w:val="both"/>
      </w:pPr>
      <w:r>
        <w:t>L’excédent éventuel du Compte GER est intégralement restitué au Maître d’Ouvrage ;</w:t>
      </w:r>
    </w:p>
    <w:p w14:paraId="4313CED7" w14:textId="4ED5D4CD" w:rsidR="00027D02" w:rsidRDefault="00027D02" w:rsidP="00A9634D">
      <w:pPr>
        <w:pStyle w:val="Paragraphedeliste"/>
        <w:numPr>
          <w:ilvl w:val="0"/>
          <w:numId w:val="35"/>
        </w:numPr>
        <w:spacing w:line="240" w:lineRule="auto"/>
        <w:contextualSpacing w:val="0"/>
        <w:jc w:val="both"/>
      </w:pPr>
      <w:r>
        <w:t>Le solde négatif est intégralement supporté par le Titulaire.</w:t>
      </w:r>
    </w:p>
    <w:p w14:paraId="462F18C3" w14:textId="69F2E685" w:rsidR="00E66733" w:rsidRDefault="00027D02" w:rsidP="00A9634D">
      <w:pPr>
        <w:spacing w:line="240" w:lineRule="auto"/>
        <w:jc w:val="both"/>
      </w:pPr>
      <w:r>
        <w:t>Elles sont néanmoins facultatives et des évolutions sont envisageables selon les pratiques du Maître d’Ouvrage.</w:t>
      </w:r>
    </w:p>
    <w:p w14:paraId="5ED1A2B6" w14:textId="3FC35B52" w:rsidR="00A371D5" w:rsidRPr="008F7ECA" w:rsidRDefault="00A371D5" w:rsidP="00A9634D">
      <w:pPr>
        <w:pStyle w:val="Titre1"/>
        <w:spacing w:line="240" w:lineRule="auto"/>
      </w:pPr>
      <w:r>
        <w:fldChar w:fldCharType="begin"/>
      </w:r>
      <w:r>
        <w:instrText xml:space="preserve"> AUTONUMLGL </w:instrText>
      </w:r>
      <w:bookmarkStart w:id="70" w:name="_Toc112749052"/>
      <w:r>
        <w:fldChar w:fldCharType="end"/>
      </w:r>
      <w:r>
        <w:t xml:space="preserve"> </w:t>
      </w:r>
      <w:r w:rsidR="00461770">
        <w:t>I</w:t>
      </w:r>
      <w:r w:rsidRPr="008F7ECA">
        <w:t>nsertion sociale</w:t>
      </w:r>
      <w:bookmarkEnd w:id="70"/>
      <w:r w:rsidR="00655F70">
        <w:fldChar w:fldCharType="begin"/>
      </w:r>
      <w:r w:rsidR="00655F70">
        <w:instrText xml:space="preserve"> XE "</w:instrText>
      </w:r>
      <w:r w:rsidR="00655F70" w:rsidRPr="009A17BE">
        <w:instrText>I</w:instrText>
      </w:r>
      <w:r w:rsidR="00655F70" w:rsidRPr="00373C01">
        <w:instrText>nsertion sociale</w:instrText>
      </w:r>
      <w:r w:rsidR="00655F70">
        <w:instrText xml:space="preserve">" \i </w:instrText>
      </w:r>
      <w:r w:rsidR="00655F70">
        <w:fldChar w:fldCharType="end"/>
      </w:r>
    </w:p>
    <w:p w14:paraId="2B5C1588" w14:textId="263D47D8" w:rsidR="00A371D5" w:rsidRPr="00D92E49" w:rsidRDefault="00A371D5" w:rsidP="00A9634D">
      <w:pPr>
        <w:spacing w:before="120" w:line="240" w:lineRule="auto"/>
        <w:jc w:val="both"/>
        <w:rPr>
          <w:rFonts w:cstheme="minorHAnsi"/>
          <w:color w:val="000000" w:themeColor="text1"/>
        </w:rPr>
      </w:pPr>
      <w:r w:rsidRPr="00D92E49">
        <w:rPr>
          <w:rFonts w:cstheme="minorHAnsi"/>
          <w:color w:val="000000" w:themeColor="text1"/>
        </w:rPr>
        <w:t xml:space="preserve">Le deuxième alinéa de l’article L.2112-2 du Code de la commande publique </w:t>
      </w:r>
      <w:r w:rsidR="005751B5">
        <w:rPr>
          <w:rFonts w:cstheme="minorHAnsi"/>
          <w:color w:val="000000" w:themeColor="text1"/>
        </w:rPr>
        <w:t>prévoit</w:t>
      </w:r>
      <w:r w:rsidRPr="00D92E49">
        <w:rPr>
          <w:rFonts w:cstheme="minorHAnsi"/>
          <w:color w:val="000000" w:themeColor="text1"/>
        </w:rPr>
        <w:t xml:space="preserve"> que « </w:t>
      </w:r>
      <w:r w:rsidRPr="00D92E49">
        <w:rPr>
          <w:rFonts w:cstheme="minorHAnsi"/>
          <w:i/>
          <w:color w:val="000000" w:themeColor="text1"/>
        </w:rPr>
        <w:t>Les conditions d’exécution peuvent prendre en compte des considérations relatives à l'économie, à l'innovation, à l'environnement, au domaine social, à l'emploi ou à la lutte contre les discriminations. </w:t>
      </w:r>
      <w:r w:rsidRPr="00D92E49">
        <w:rPr>
          <w:rFonts w:cstheme="minorHAnsi"/>
          <w:color w:val="000000" w:themeColor="text1"/>
        </w:rPr>
        <w:t>» </w:t>
      </w:r>
    </w:p>
    <w:p w14:paraId="06B2CE16" w14:textId="26B9C456" w:rsidR="00A371D5" w:rsidRPr="00D92E49" w:rsidRDefault="00A371D5" w:rsidP="00A9634D">
      <w:pPr>
        <w:spacing w:before="120" w:line="240" w:lineRule="auto"/>
        <w:jc w:val="both"/>
        <w:rPr>
          <w:rFonts w:cstheme="minorHAnsi"/>
          <w:color w:val="000000" w:themeColor="text1"/>
        </w:rPr>
      </w:pPr>
      <w:r w:rsidRPr="00D92E49">
        <w:rPr>
          <w:rFonts w:cstheme="minorHAnsi"/>
          <w:color w:val="000000" w:themeColor="text1"/>
        </w:rPr>
        <w:t xml:space="preserve">A ce titre, le Marché peut comporter une clause sociale imposant au Titulaire de consacrer un certain nombre d’heures à une action d’insertion. </w:t>
      </w:r>
    </w:p>
    <w:p w14:paraId="1498E701" w14:textId="77777777" w:rsidR="00A371D5" w:rsidRPr="00D92E49" w:rsidRDefault="00A371D5" w:rsidP="00A9634D">
      <w:pPr>
        <w:spacing w:before="120" w:line="240" w:lineRule="auto"/>
        <w:jc w:val="both"/>
        <w:rPr>
          <w:rFonts w:cstheme="minorHAnsi"/>
          <w:color w:val="000000" w:themeColor="text1"/>
        </w:rPr>
      </w:pPr>
      <w:r w:rsidRPr="00D92E49">
        <w:rPr>
          <w:rFonts w:cstheme="minorHAnsi"/>
          <w:color w:val="000000" w:themeColor="text1"/>
        </w:rPr>
        <w:t>Le Maître d’Ouvrage peut :</w:t>
      </w:r>
    </w:p>
    <w:p w14:paraId="48E2D001" w14:textId="77777777" w:rsidR="00A371D5" w:rsidRPr="005751B5" w:rsidRDefault="00A371D5" w:rsidP="005751B5">
      <w:pPr>
        <w:pStyle w:val="Paragraphedeliste"/>
        <w:numPr>
          <w:ilvl w:val="0"/>
          <w:numId w:val="35"/>
        </w:numPr>
        <w:spacing w:line="240" w:lineRule="auto"/>
        <w:contextualSpacing w:val="0"/>
        <w:jc w:val="both"/>
      </w:pPr>
      <w:r w:rsidRPr="005751B5">
        <w:t xml:space="preserve">Soit choisir de fixer un nombre d’heure d’insertion minimal qui sera à respecter par le Titulaire ; </w:t>
      </w:r>
    </w:p>
    <w:p w14:paraId="40528A82" w14:textId="77777777" w:rsidR="00A371D5" w:rsidRPr="00D92E49" w:rsidRDefault="00A371D5" w:rsidP="005751B5">
      <w:pPr>
        <w:pStyle w:val="Paragraphedeliste"/>
        <w:numPr>
          <w:ilvl w:val="0"/>
          <w:numId w:val="35"/>
        </w:numPr>
        <w:spacing w:line="240" w:lineRule="auto"/>
        <w:contextualSpacing w:val="0"/>
        <w:jc w:val="both"/>
        <w:rPr>
          <w:rFonts w:cstheme="minorHAnsi"/>
          <w:bCs/>
          <w:color w:val="000000" w:themeColor="text1"/>
        </w:rPr>
      </w:pPr>
      <w:r w:rsidRPr="005751B5">
        <w:t>Soit ériger en critère d’attribution la qualité et/ou la démarche d’insertion sociale, et inviter à ce titre les candidats à proposer une démarche d’action d’insertion et un volume d’heures (le cas</w:t>
      </w:r>
      <w:r w:rsidRPr="00D92E49">
        <w:rPr>
          <w:rFonts w:cstheme="minorHAnsi"/>
          <w:bCs/>
          <w:color w:val="000000" w:themeColor="text1"/>
        </w:rPr>
        <w:t xml:space="preserve"> échéant, en fixant un nombre plancher d’heures d’insertion). Le volume d’heures qui s’imposera au Titulaire sera alors celui qu’il aura proposé dans son offre finale. </w:t>
      </w:r>
    </w:p>
    <w:p w14:paraId="39987664" w14:textId="77777777" w:rsidR="00A371D5" w:rsidRPr="00D92E49" w:rsidRDefault="00A371D5" w:rsidP="00A9634D">
      <w:pPr>
        <w:spacing w:before="120" w:line="240" w:lineRule="auto"/>
        <w:jc w:val="both"/>
        <w:rPr>
          <w:rFonts w:cstheme="minorHAnsi"/>
          <w:color w:val="000000" w:themeColor="text1"/>
        </w:rPr>
      </w:pPr>
      <w:r w:rsidRPr="00D92E49">
        <w:rPr>
          <w:rFonts w:cstheme="minorHAnsi"/>
          <w:color w:val="000000" w:themeColor="text1"/>
        </w:rPr>
        <w:t xml:space="preserve">Le volume d’heures d’insertion est souvent fixé proportionnellement au montant des </w:t>
      </w:r>
      <w:r w:rsidRPr="00D92E49">
        <w:rPr>
          <w:rFonts w:eastAsia="Calibri" w:cstheme="minorHAnsi"/>
          <w:color w:val="000000" w:themeColor="text1"/>
        </w:rPr>
        <w:t>Actions</w:t>
      </w:r>
      <w:r w:rsidRPr="00D92E49">
        <w:rPr>
          <w:rFonts w:cstheme="minorHAnsi"/>
          <w:color w:val="000000" w:themeColor="text1"/>
        </w:rPr>
        <w:t xml:space="preserve"> de Rénovation ou au montant du Marché. Le Maître d’Ouvrage peut exiger que les heures d’insertion portent sur certaines prestations du Marché (par exemple, la conception-réalisation) ou laisser libre le Titulaire d’allouer comme il l’entend les heures d’insertion auxquelles il est engagé, pour la réalisation des prestations objets du Marché. Cette dernière solution est plus souple pour le Titulaire et peut ainsi inciter les candidats à l’attribution du Marché à proposer de s’engager sur un volume d’heures d’insertion plus élevé.</w:t>
      </w:r>
    </w:p>
    <w:p w14:paraId="2902BA03" w14:textId="77777777" w:rsidR="00A371D5" w:rsidRDefault="00A371D5" w:rsidP="00A9634D">
      <w:pPr>
        <w:shd w:val="clear" w:color="auto" w:fill="FFFFFF" w:themeFill="background1"/>
        <w:spacing w:line="240" w:lineRule="auto"/>
        <w:jc w:val="both"/>
        <w:rPr>
          <w:rFonts w:cstheme="minorHAnsi"/>
          <w:color w:val="000000" w:themeColor="text1"/>
        </w:rPr>
      </w:pPr>
      <w:r w:rsidRPr="00D92E49">
        <w:rPr>
          <w:rFonts w:cstheme="minorHAnsi"/>
          <w:color w:val="000000" w:themeColor="text1"/>
        </w:rPr>
        <w:t xml:space="preserve">En tout état de cause, le Maître d’Ouvrage doit veiller à ce que le nombre minimum d’heures d’insertion exigé ne soit pas trop important, faute de quoi cette condition d’exécution du Marché serait de nature à porter atteinte au principe de liberté d’accès à la commande publique. </w:t>
      </w:r>
    </w:p>
    <w:p w14:paraId="77B7BCC4" w14:textId="29C8C5C1" w:rsidR="00F46D3D" w:rsidRDefault="00F46D3D" w:rsidP="00064B1F">
      <w:pPr>
        <w:spacing w:line="240" w:lineRule="auto"/>
      </w:pPr>
      <w:r>
        <w:br w:type="page"/>
      </w:r>
    </w:p>
    <w:p w14:paraId="13B0DF97" w14:textId="49A4CF9B" w:rsidR="00810A8C" w:rsidRDefault="00810A8C" w:rsidP="00B9203E">
      <w:pPr>
        <w:pStyle w:val="Titre1"/>
        <w:spacing w:line="240" w:lineRule="auto"/>
      </w:pPr>
      <w:bookmarkStart w:id="71" w:name="_Toc112749053"/>
      <w:r>
        <w:lastRenderedPageBreak/>
        <w:t>Index</w:t>
      </w:r>
      <w:bookmarkEnd w:id="71"/>
    </w:p>
    <w:p w14:paraId="09CF3616" w14:textId="77777777" w:rsidR="008C4E88" w:rsidRDefault="008C4E88" w:rsidP="00B9203E">
      <w:pPr>
        <w:spacing w:line="240" w:lineRule="auto"/>
        <w:sectPr w:rsidR="008C4E8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pPr>
    </w:p>
    <w:p w14:paraId="310E06CC" w14:textId="77777777" w:rsidR="000C6A7B" w:rsidRDefault="00CF511B">
      <w:pPr>
        <w:pStyle w:val="Index1"/>
        <w:tabs>
          <w:tab w:val="right" w:leader="dot" w:pos="4172"/>
        </w:tabs>
        <w:rPr>
          <w:iCs/>
          <w:noProof/>
        </w:rPr>
      </w:pPr>
      <w:r>
        <w:fldChar w:fldCharType="begin"/>
      </w:r>
      <w:r>
        <w:instrText xml:space="preserve"> INDEX  \* MERGEFORMAT </w:instrText>
      </w:r>
      <w:r>
        <w:fldChar w:fldCharType="separate"/>
      </w:r>
      <w:r w:rsidR="000C6A7B">
        <w:rPr>
          <w:noProof/>
        </w:rPr>
        <w:t xml:space="preserve">Amiante, </w:t>
      </w:r>
      <w:r w:rsidR="000C6A7B">
        <w:rPr>
          <w:i/>
          <w:iCs/>
          <w:noProof/>
        </w:rPr>
        <w:t>36</w:t>
      </w:r>
    </w:p>
    <w:p w14:paraId="02279754" w14:textId="77777777" w:rsidR="000C6A7B" w:rsidRDefault="000C6A7B">
      <w:pPr>
        <w:pStyle w:val="Index1"/>
        <w:tabs>
          <w:tab w:val="right" w:leader="dot" w:pos="4172"/>
        </w:tabs>
        <w:rPr>
          <w:iCs/>
          <w:noProof/>
        </w:rPr>
      </w:pPr>
      <w:r w:rsidRPr="00DC2594">
        <w:rPr>
          <w:noProof/>
          <w:color w:val="000000" w:themeColor="text1"/>
        </w:rPr>
        <w:t>Annexe environnementale</w:t>
      </w:r>
      <w:r>
        <w:rPr>
          <w:noProof/>
        </w:rPr>
        <w:t xml:space="preserve">, </w:t>
      </w:r>
      <w:r>
        <w:rPr>
          <w:i/>
          <w:iCs/>
          <w:noProof/>
        </w:rPr>
        <w:t>21</w:t>
      </w:r>
    </w:p>
    <w:p w14:paraId="43E5357A" w14:textId="77777777" w:rsidR="000C6A7B" w:rsidRDefault="000C6A7B">
      <w:pPr>
        <w:pStyle w:val="Index1"/>
        <w:tabs>
          <w:tab w:val="right" w:leader="dot" w:pos="4172"/>
        </w:tabs>
        <w:rPr>
          <w:iCs/>
          <w:noProof/>
        </w:rPr>
      </w:pPr>
      <w:r>
        <w:rPr>
          <w:noProof/>
        </w:rPr>
        <w:t xml:space="preserve">Appel d’offres, </w:t>
      </w:r>
      <w:r>
        <w:rPr>
          <w:i/>
          <w:iCs/>
          <w:noProof/>
        </w:rPr>
        <w:t>14</w:t>
      </w:r>
    </w:p>
    <w:p w14:paraId="4B41597F" w14:textId="77777777" w:rsidR="000C6A7B" w:rsidRDefault="000C6A7B">
      <w:pPr>
        <w:pStyle w:val="Index1"/>
        <w:tabs>
          <w:tab w:val="right" w:leader="dot" w:pos="4172"/>
        </w:tabs>
        <w:rPr>
          <w:iCs/>
          <w:noProof/>
        </w:rPr>
      </w:pPr>
      <w:r>
        <w:rPr>
          <w:noProof/>
        </w:rPr>
        <w:t xml:space="preserve">Architecte, </w:t>
      </w:r>
      <w:r>
        <w:rPr>
          <w:i/>
          <w:iCs/>
          <w:noProof/>
        </w:rPr>
        <w:t>35</w:t>
      </w:r>
    </w:p>
    <w:p w14:paraId="25133541" w14:textId="77777777" w:rsidR="000C6A7B" w:rsidRDefault="000C6A7B">
      <w:pPr>
        <w:pStyle w:val="Index1"/>
        <w:tabs>
          <w:tab w:val="right" w:leader="dot" w:pos="4172"/>
        </w:tabs>
        <w:rPr>
          <w:iCs/>
          <w:noProof/>
        </w:rPr>
      </w:pPr>
      <w:r>
        <w:rPr>
          <w:noProof/>
        </w:rPr>
        <w:t xml:space="preserve">Assistant à maîtrise d’ouvrage (AMO), </w:t>
      </w:r>
      <w:r>
        <w:rPr>
          <w:i/>
          <w:iCs/>
          <w:noProof/>
        </w:rPr>
        <w:t>23</w:t>
      </w:r>
    </w:p>
    <w:p w14:paraId="6CEEC977" w14:textId="77777777" w:rsidR="000C6A7B" w:rsidRDefault="000C6A7B">
      <w:pPr>
        <w:pStyle w:val="Index1"/>
        <w:tabs>
          <w:tab w:val="right" w:leader="dot" w:pos="4172"/>
        </w:tabs>
        <w:rPr>
          <w:iCs/>
          <w:noProof/>
        </w:rPr>
      </w:pPr>
      <w:r>
        <w:rPr>
          <w:noProof/>
        </w:rPr>
        <w:t xml:space="preserve">Assurances, </w:t>
      </w:r>
      <w:r>
        <w:rPr>
          <w:i/>
          <w:iCs/>
          <w:noProof/>
        </w:rPr>
        <w:t>33</w:t>
      </w:r>
    </w:p>
    <w:p w14:paraId="1FB3C5AE" w14:textId="77777777" w:rsidR="000C6A7B" w:rsidRDefault="000C6A7B">
      <w:pPr>
        <w:pStyle w:val="Index1"/>
        <w:tabs>
          <w:tab w:val="right" w:leader="dot" w:pos="4172"/>
        </w:tabs>
        <w:rPr>
          <w:noProof/>
        </w:rPr>
      </w:pPr>
      <w:r>
        <w:rPr>
          <w:noProof/>
        </w:rPr>
        <w:t>Autorisations administratives, 35</w:t>
      </w:r>
    </w:p>
    <w:p w14:paraId="4EB369F8" w14:textId="77777777" w:rsidR="000C6A7B" w:rsidRDefault="000C6A7B">
      <w:pPr>
        <w:pStyle w:val="Index1"/>
        <w:tabs>
          <w:tab w:val="right" w:leader="dot" w:pos="4172"/>
        </w:tabs>
        <w:rPr>
          <w:iCs/>
          <w:noProof/>
        </w:rPr>
      </w:pPr>
      <w:r>
        <w:rPr>
          <w:noProof/>
        </w:rPr>
        <w:t xml:space="preserve">Causes d’Ajustement, </w:t>
      </w:r>
      <w:r>
        <w:rPr>
          <w:i/>
          <w:iCs/>
          <w:noProof/>
        </w:rPr>
        <w:t>16</w:t>
      </w:r>
    </w:p>
    <w:p w14:paraId="53F52D0E" w14:textId="77777777" w:rsidR="000C6A7B" w:rsidRDefault="000C6A7B">
      <w:pPr>
        <w:pStyle w:val="Index1"/>
        <w:tabs>
          <w:tab w:val="right" w:leader="dot" w:pos="4172"/>
        </w:tabs>
        <w:rPr>
          <w:noProof/>
        </w:rPr>
      </w:pPr>
      <w:r>
        <w:rPr>
          <w:noProof/>
        </w:rPr>
        <w:t>CEE</w:t>
      </w:r>
    </w:p>
    <w:p w14:paraId="7FCE4361" w14:textId="77777777" w:rsidR="000C6A7B" w:rsidRDefault="000C6A7B">
      <w:pPr>
        <w:pStyle w:val="Index2"/>
        <w:tabs>
          <w:tab w:val="right" w:leader="dot" w:pos="4172"/>
        </w:tabs>
        <w:rPr>
          <w:iCs/>
          <w:noProof/>
        </w:rPr>
      </w:pPr>
      <w:r>
        <w:rPr>
          <w:noProof/>
        </w:rPr>
        <w:t xml:space="preserve">Bonification, </w:t>
      </w:r>
      <w:r>
        <w:rPr>
          <w:i/>
          <w:iCs/>
          <w:noProof/>
        </w:rPr>
        <w:t>32</w:t>
      </w:r>
    </w:p>
    <w:p w14:paraId="26FBE384" w14:textId="77777777" w:rsidR="000C6A7B" w:rsidRDefault="000C6A7B">
      <w:pPr>
        <w:pStyle w:val="Index2"/>
        <w:tabs>
          <w:tab w:val="right" w:leader="dot" w:pos="4172"/>
        </w:tabs>
        <w:rPr>
          <w:iCs/>
          <w:noProof/>
        </w:rPr>
      </w:pPr>
      <w:r>
        <w:rPr>
          <w:noProof/>
        </w:rPr>
        <w:t xml:space="preserve">Valorisation, </w:t>
      </w:r>
      <w:r>
        <w:rPr>
          <w:i/>
          <w:iCs/>
          <w:noProof/>
        </w:rPr>
        <w:t>31</w:t>
      </w:r>
    </w:p>
    <w:p w14:paraId="2853FB6C" w14:textId="77777777" w:rsidR="000C6A7B" w:rsidRDefault="000C6A7B">
      <w:pPr>
        <w:pStyle w:val="Index1"/>
        <w:tabs>
          <w:tab w:val="right" w:leader="dot" w:pos="4172"/>
        </w:tabs>
        <w:rPr>
          <w:iCs/>
          <w:noProof/>
        </w:rPr>
      </w:pPr>
      <w:r w:rsidRPr="00DC2594">
        <w:rPr>
          <w:rFonts w:eastAsia="Times New Roman"/>
          <w:noProof/>
        </w:rPr>
        <w:t>Certificats d’économies d’énergie (CEE)</w:t>
      </w:r>
      <w:r>
        <w:rPr>
          <w:noProof/>
        </w:rPr>
        <w:t xml:space="preserve">, </w:t>
      </w:r>
      <w:r>
        <w:rPr>
          <w:i/>
          <w:iCs/>
          <w:noProof/>
        </w:rPr>
        <w:t>31</w:t>
      </w:r>
    </w:p>
    <w:p w14:paraId="38E1281D" w14:textId="77777777" w:rsidR="000C6A7B" w:rsidRDefault="000C6A7B">
      <w:pPr>
        <w:pStyle w:val="Index1"/>
        <w:tabs>
          <w:tab w:val="right" w:leader="dot" w:pos="4172"/>
        </w:tabs>
        <w:rPr>
          <w:iCs/>
          <w:noProof/>
        </w:rPr>
      </w:pPr>
      <w:r>
        <w:rPr>
          <w:noProof/>
        </w:rPr>
        <w:t xml:space="preserve">Changement de règlementation, </w:t>
      </w:r>
      <w:r>
        <w:rPr>
          <w:i/>
          <w:iCs/>
          <w:noProof/>
        </w:rPr>
        <w:t>34</w:t>
      </w:r>
    </w:p>
    <w:p w14:paraId="30CCBE1F" w14:textId="77777777" w:rsidR="000C6A7B" w:rsidRDefault="000C6A7B">
      <w:pPr>
        <w:pStyle w:val="Index1"/>
        <w:tabs>
          <w:tab w:val="right" w:leader="dot" w:pos="4172"/>
        </w:tabs>
        <w:rPr>
          <w:iCs/>
          <w:noProof/>
        </w:rPr>
      </w:pPr>
      <w:r w:rsidRPr="00DC2594">
        <w:rPr>
          <w:rFonts w:eastAsia="Calibri"/>
          <w:noProof/>
        </w:rPr>
        <w:t>Cotraitance</w:t>
      </w:r>
      <w:r>
        <w:rPr>
          <w:noProof/>
        </w:rPr>
        <w:t xml:space="preserve">, </w:t>
      </w:r>
      <w:r>
        <w:rPr>
          <w:i/>
          <w:iCs/>
          <w:noProof/>
        </w:rPr>
        <w:t>25</w:t>
      </w:r>
    </w:p>
    <w:p w14:paraId="39A68015" w14:textId="77777777" w:rsidR="000C6A7B" w:rsidRDefault="000C6A7B">
      <w:pPr>
        <w:pStyle w:val="Index1"/>
        <w:tabs>
          <w:tab w:val="right" w:leader="dot" w:pos="4172"/>
        </w:tabs>
        <w:rPr>
          <w:iCs/>
          <w:noProof/>
        </w:rPr>
      </w:pPr>
      <w:r>
        <w:rPr>
          <w:noProof/>
        </w:rPr>
        <w:t xml:space="preserve">Décompte général et définitif, </w:t>
      </w:r>
      <w:r>
        <w:rPr>
          <w:i/>
          <w:iCs/>
          <w:noProof/>
        </w:rPr>
        <w:t>38</w:t>
      </w:r>
    </w:p>
    <w:p w14:paraId="438C70C8" w14:textId="77777777" w:rsidR="000C6A7B" w:rsidRDefault="000C6A7B">
      <w:pPr>
        <w:pStyle w:val="Index1"/>
        <w:tabs>
          <w:tab w:val="right" w:leader="dot" w:pos="4172"/>
        </w:tabs>
        <w:rPr>
          <w:noProof/>
        </w:rPr>
      </w:pPr>
      <w:r>
        <w:rPr>
          <w:noProof/>
        </w:rPr>
        <w:t>Délais</w:t>
      </w:r>
    </w:p>
    <w:p w14:paraId="7DCF899C" w14:textId="77777777" w:rsidR="000C6A7B" w:rsidRDefault="000C6A7B">
      <w:pPr>
        <w:pStyle w:val="Index2"/>
        <w:tabs>
          <w:tab w:val="right" w:leader="dot" w:pos="4172"/>
        </w:tabs>
        <w:rPr>
          <w:noProof/>
        </w:rPr>
      </w:pPr>
      <w:r>
        <w:rPr>
          <w:noProof/>
        </w:rPr>
        <w:t>Délais d'exécution, 40</w:t>
      </w:r>
    </w:p>
    <w:p w14:paraId="1DDF2786" w14:textId="77777777" w:rsidR="000C6A7B" w:rsidRDefault="000C6A7B">
      <w:pPr>
        <w:pStyle w:val="Index2"/>
        <w:tabs>
          <w:tab w:val="right" w:leader="dot" w:pos="4172"/>
        </w:tabs>
        <w:rPr>
          <w:iCs/>
          <w:noProof/>
        </w:rPr>
      </w:pPr>
      <w:r>
        <w:rPr>
          <w:noProof/>
        </w:rPr>
        <w:t xml:space="preserve">Délais d’exécution de la Phase de Conception-Réalisation, </w:t>
      </w:r>
      <w:r>
        <w:rPr>
          <w:i/>
          <w:iCs/>
          <w:noProof/>
        </w:rPr>
        <w:t>36</w:t>
      </w:r>
    </w:p>
    <w:p w14:paraId="14FC1148" w14:textId="77777777" w:rsidR="000C6A7B" w:rsidRDefault="000C6A7B">
      <w:pPr>
        <w:pStyle w:val="Index1"/>
        <w:tabs>
          <w:tab w:val="right" w:leader="dot" w:pos="4172"/>
        </w:tabs>
        <w:rPr>
          <w:noProof/>
        </w:rPr>
      </w:pPr>
      <w:r>
        <w:rPr>
          <w:noProof/>
        </w:rPr>
        <w:t>Dispositif éco énergie tertiaire, 20</w:t>
      </w:r>
    </w:p>
    <w:p w14:paraId="252FA337" w14:textId="77777777" w:rsidR="000C6A7B" w:rsidRDefault="000C6A7B">
      <w:pPr>
        <w:pStyle w:val="Index1"/>
        <w:tabs>
          <w:tab w:val="right" w:leader="dot" w:pos="4172"/>
        </w:tabs>
        <w:rPr>
          <w:noProof/>
        </w:rPr>
      </w:pPr>
      <w:r>
        <w:rPr>
          <w:noProof/>
        </w:rPr>
        <w:t>Dispositif éco-énergie</w:t>
      </w:r>
    </w:p>
    <w:p w14:paraId="2F954754" w14:textId="77777777" w:rsidR="000C6A7B" w:rsidRDefault="000C6A7B">
      <w:pPr>
        <w:pStyle w:val="Index2"/>
        <w:tabs>
          <w:tab w:val="right" w:leader="dot" w:pos="4172"/>
        </w:tabs>
        <w:rPr>
          <w:iCs/>
          <w:noProof/>
        </w:rPr>
      </w:pPr>
      <w:r>
        <w:rPr>
          <w:noProof/>
        </w:rPr>
        <w:t xml:space="preserve">Année de référence, </w:t>
      </w:r>
      <w:r>
        <w:rPr>
          <w:i/>
          <w:iCs/>
          <w:noProof/>
        </w:rPr>
        <w:t>22</w:t>
      </w:r>
    </w:p>
    <w:p w14:paraId="0CDE2CE6" w14:textId="77777777" w:rsidR="000C6A7B" w:rsidRDefault="000C6A7B">
      <w:pPr>
        <w:pStyle w:val="Index2"/>
        <w:tabs>
          <w:tab w:val="right" w:leader="dot" w:pos="4172"/>
        </w:tabs>
        <w:rPr>
          <w:iCs/>
          <w:noProof/>
        </w:rPr>
      </w:pPr>
      <w:r>
        <w:rPr>
          <w:noProof/>
        </w:rPr>
        <w:t xml:space="preserve">Modulations, </w:t>
      </w:r>
      <w:r>
        <w:rPr>
          <w:i/>
          <w:iCs/>
          <w:noProof/>
        </w:rPr>
        <w:t>22</w:t>
      </w:r>
    </w:p>
    <w:p w14:paraId="426D1CB1" w14:textId="77777777" w:rsidR="000C6A7B" w:rsidRDefault="000C6A7B">
      <w:pPr>
        <w:pStyle w:val="Index2"/>
        <w:tabs>
          <w:tab w:val="right" w:leader="dot" w:pos="4172"/>
        </w:tabs>
        <w:rPr>
          <w:iCs/>
          <w:noProof/>
        </w:rPr>
      </w:pPr>
      <w:r>
        <w:rPr>
          <w:noProof/>
        </w:rPr>
        <w:t xml:space="preserve">Obligation de réduction des consommations énergétiques, </w:t>
      </w:r>
      <w:r>
        <w:rPr>
          <w:i/>
          <w:iCs/>
          <w:noProof/>
        </w:rPr>
        <w:t>20</w:t>
      </w:r>
    </w:p>
    <w:p w14:paraId="6EF2816C" w14:textId="77777777" w:rsidR="000C6A7B" w:rsidRDefault="000C6A7B">
      <w:pPr>
        <w:pStyle w:val="Index1"/>
        <w:tabs>
          <w:tab w:val="right" w:leader="dot" w:pos="4172"/>
        </w:tabs>
        <w:rPr>
          <w:iCs/>
          <w:noProof/>
        </w:rPr>
      </w:pPr>
      <w:r>
        <w:rPr>
          <w:noProof/>
        </w:rPr>
        <w:t xml:space="preserve">Durée, </w:t>
      </w:r>
      <w:r>
        <w:rPr>
          <w:i/>
          <w:iCs/>
          <w:noProof/>
        </w:rPr>
        <w:t>13</w:t>
      </w:r>
    </w:p>
    <w:p w14:paraId="685C053E" w14:textId="77777777" w:rsidR="000C6A7B" w:rsidRDefault="000C6A7B">
      <w:pPr>
        <w:pStyle w:val="Index1"/>
        <w:tabs>
          <w:tab w:val="right" w:leader="dot" w:pos="4172"/>
        </w:tabs>
        <w:rPr>
          <w:iCs/>
          <w:noProof/>
        </w:rPr>
      </w:pPr>
      <w:r>
        <w:rPr>
          <w:noProof/>
        </w:rPr>
        <w:t xml:space="preserve">Familles de CPE, </w:t>
      </w:r>
      <w:r>
        <w:rPr>
          <w:i/>
          <w:iCs/>
          <w:noProof/>
        </w:rPr>
        <w:t>11</w:t>
      </w:r>
    </w:p>
    <w:p w14:paraId="2D4202DA" w14:textId="77777777" w:rsidR="000C6A7B" w:rsidRDefault="000C6A7B">
      <w:pPr>
        <w:pStyle w:val="Index2"/>
        <w:tabs>
          <w:tab w:val="right" w:leader="dot" w:pos="4172"/>
        </w:tabs>
        <w:rPr>
          <w:iCs/>
          <w:noProof/>
        </w:rPr>
      </w:pPr>
      <w:r>
        <w:rPr>
          <w:noProof/>
        </w:rPr>
        <w:t xml:space="preserve">CPE « Fournitures et Services, </w:t>
      </w:r>
      <w:r>
        <w:rPr>
          <w:i/>
          <w:iCs/>
          <w:noProof/>
        </w:rPr>
        <w:t>11</w:t>
      </w:r>
    </w:p>
    <w:p w14:paraId="58742B2D" w14:textId="77777777" w:rsidR="000C6A7B" w:rsidRDefault="000C6A7B">
      <w:pPr>
        <w:pStyle w:val="Index2"/>
        <w:tabs>
          <w:tab w:val="right" w:leader="dot" w:pos="4172"/>
        </w:tabs>
        <w:rPr>
          <w:iCs/>
          <w:noProof/>
        </w:rPr>
      </w:pPr>
      <w:r>
        <w:rPr>
          <w:noProof/>
        </w:rPr>
        <w:t xml:space="preserve">CPE « Globaux », </w:t>
      </w:r>
      <w:r>
        <w:rPr>
          <w:i/>
          <w:iCs/>
          <w:noProof/>
        </w:rPr>
        <w:t>11</w:t>
      </w:r>
    </w:p>
    <w:p w14:paraId="7BA95036" w14:textId="77777777" w:rsidR="000C6A7B" w:rsidRDefault="000C6A7B">
      <w:pPr>
        <w:pStyle w:val="Index2"/>
        <w:tabs>
          <w:tab w:val="right" w:leader="dot" w:pos="4172"/>
        </w:tabs>
        <w:rPr>
          <w:iCs/>
          <w:noProof/>
        </w:rPr>
      </w:pPr>
      <w:r>
        <w:rPr>
          <w:noProof/>
        </w:rPr>
        <w:t xml:space="preserve">CPE « Travaux et Services », </w:t>
      </w:r>
      <w:r>
        <w:rPr>
          <w:i/>
          <w:iCs/>
          <w:noProof/>
        </w:rPr>
        <w:t>11</w:t>
      </w:r>
    </w:p>
    <w:p w14:paraId="297712EB" w14:textId="77777777" w:rsidR="000C6A7B" w:rsidRDefault="000C6A7B">
      <w:pPr>
        <w:pStyle w:val="Index1"/>
        <w:tabs>
          <w:tab w:val="right" w:leader="dot" w:pos="4172"/>
        </w:tabs>
        <w:rPr>
          <w:iCs/>
          <w:noProof/>
        </w:rPr>
      </w:pPr>
      <w:r>
        <w:rPr>
          <w:noProof/>
        </w:rPr>
        <w:t xml:space="preserve">Faute du Titulaire, </w:t>
      </w:r>
      <w:r>
        <w:rPr>
          <w:i/>
          <w:iCs/>
          <w:noProof/>
        </w:rPr>
        <w:t>19</w:t>
      </w:r>
    </w:p>
    <w:p w14:paraId="581D790B" w14:textId="77777777" w:rsidR="000C6A7B" w:rsidRDefault="000C6A7B">
      <w:pPr>
        <w:pStyle w:val="Index1"/>
        <w:tabs>
          <w:tab w:val="right" w:leader="dot" w:pos="4172"/>
        </w:tabs>
        <w:rPr>
          <w:iCs/>
          <w:noProof/>
        </w:rPr>
      </w:pPr>
      <w:r w:rsidRPr="00DC2594">
        <w:rPr>
          <w:rFonts w:eastAsia="Times New Roman"/>
          <w:noProof/>
        </w:rPr>
        <w:t>Fourniture d’énergie (P1)</w:t>
      </w:r>
      <w:r>
        <w:rPr>
          <w:noProof/>
        </w:rPr>
        <w:t xml:space="preserve">, </w:t>
      </w:r>
      <w:r>
        <w:rPr>
          <w:i/>
          <w:iCs/>
          <w:noProof/>
        </w:rPr>
        <w:t>31</w:t>
      </w:r>
    </w:p>
    <w:p w14:paraId="7DB97342" w14:textId="77777777" w:rsidR="000C6A7B" w:rsidRDefault="000C6A7B">
      <w:pPr>
        <w:pStyle w:val="Index1"/>
        <w:tabs>
          <w:tab w:val="right" w:leader="dot" w:pos="4172"/>
        </w:tabs>
        <w:rPr>
          <w:iCs/>
          <w:noProof/>
        </w:rPr>
      </w:pPr>
      <w:r>
        <w:rPr>
          <w:noProof/>
        </w:rPr>
        <w:t xml:space="preserve">Garantie de performance énergétique, </w:t>
      </w:r>
      <w:r>
        <w:rPr>
          <w:i/>
          <w:iCs/>
          <w:noProof/>
        </w:rPr>
        <w:t>14</w:t>
      </w:r>
    </w:p>
    <w:p w14:paraId="4E87AA21" w14:textId="77777777" w:rsidR="000C6A7B" w:rsidRDefault="000C6A7B">
      <w:pPr>
        <w:pStyle w:val="Index1"/>
        <w:tabs>
          <w:tab w:val="right" w:leader="dot" w:pos="4172"/>
        </w:tabs>
        <w:rPr>
          <w:iCs/>
          <w:noProof/>
        </w:rPr>
      </w:pPr>
      <w:r>
        <w:rPr>
          <w:noProof/>
        </w:rPr>
        <w:t xml:space="preserve">Garantie de Performance Énergétique, </w:t>
      </w:r>
      <w:r>
        <w:rPr>
          <w:i/>
          <w:iCs/>
          <w:noProof/>
        </w:rPr>
        <w:t>17</w:t>
      </w:r>
    </w:p>
    <w:p w14:paraId="45969745" w14:textId="77777777" w:rsidR="000C6A7B" w:rsidRDefault="000C6A7B">
      <w:pPr>
        <w:pStyle w:val="Index1"/>
        <w:tabs>
          <w:tab w:val="right" w:leader="dot" w:pos="4172"/>
        </w:tabs>
        <w:rPr>
          <w:iCs/>
          <w:noProof/>
        </w:rPr>
      </w:pPr>
      <w:r>
        <w:rPr>
          <w:noProof/>
        </w:rPr>
        <w:t xml:space="preserve">Garantie financière, </w:t>
      </w:r>
      <w:r>
        <w:rPr>
          <w:i/>
          <w:iCs/>
          <w:noProof/>
        </w:rPr>
        <w:t>19</w:t>
      </w:r>
    </w:p>
    <w:p w14:paraId="3D35FF65" w14:textId="77777777" w:rsidR="000C6A7B" w:rsidRDefault="000C6A7B">
      <w:pPr>
        <w:pStyle w:val="Index1"/>
        <w:tabs>
          <w:tab w:val="right" w:leader="dot" w:pos="4172"/>
        </w:tabs>
        <w:rPr>
          <w:iCs/>
          <w:noProof/>
        </w:rPr>
      </w:pPr>
      <w:r>
        <w:rPr>
          <w:noProof/>
        </w:rPr>
        <w:t xml:space="preserve">GER, </w:t>
      </w:r>
      <w:r>
        <w:rPr>
          <w:i/>
          <w:iCs/>
          <w:noProof/>
        </w:rPr>
        <w:t>41</w:t>
      </w:r>
    </w:p>
    <w:p w14:paraId="5B938A8D" w14:textId="77777777" w:rsidR="000C6A7B" w:rsidRDefault="000C6A7B">
      <w:pPr>
        <w:pStyle w:val="Index1"/>
        <w:tabs>
          <w:tab w:val="right" w:leader="dot" w:pos="4172"/>
        </w:tabs>
        <w:rPr>
          <w:noProof/>
        </w:rPr>
      </w:pPr>
      <w:r>
        <w:rPr>
          <w:noProof/>
        </w:rPr>
        <w:t>Groupement</w:t>
      </w:r>
    </w:p>
    <w:p w14:paraId="46371A4A" w14:textId="77777777" w:rsidR="000C6A7B" w:rsidRDefault="000C6A7B">
      <w:pPr>
        <w:pStyle w:val="Index2"/>
        <w:tabs>
          <w:tab w:val="right" w:leader="dot" w:pos="4172"/>
        </w:tabs>
        <w:rPr>
          <w:iCs/>
          <w:noProof/>
        </w:rPr>
      </w:pPr>
      <w:r>
        <w:rPr>
          <w:noProof/>
        </w:rPr>
        <w:t xml:space="preserve">Mandataire, </w:t>
      </w:r>
      <w:r>
        <w:rPr>
          <w:i/>
          <w:iCs/>
          <w:noProof/>
        </w:rPr>
        <w:t>26</w:t>
      </w:r>
    </w:p>
    <w:p w14:paraId="4AF86545" w14:textId="77777777" w:rsidR="000C6A7B" w:rsidRDefault="000C6A7B">
      <w:pPr>
        <w:pStyle w:val="Index1"/>
        <w:tabs>
          <w:tab w:val="right" w:leader="dot" w:pos="4172"/>
        </w:tabs>
        <w:rPr>
          <w:iCs/>
          <w:noProof/>
        </w:rPr>
      </w:pPr>
      <w:r>
        <w:rPr>
          <w:noProof/>
        </w:rPr>
        <w:t xml:space="preserve">Insertion sociale, </w:t>
      </w:r>
      <w:r>
        <w:rPr>
          <w:i/>
          <w:iCs/>
          <w:noProof/>
        </w:rPr>
        <w:t>41</w:t>
      </w:r>
    </w:p>
    <w:p w14:paraId="3651E07C" w14:textId="77777777" w:rsidR="000C6A7B" w:rsidRDefault="000C6A7B">
      <w:pPr>
        <w:pStyle w:val="Index1"/>
        <w:tabs>
          <w:tab w:val="right" w:leader="dot" w:pos="4172"/>
        </w:tabs>
        <w:rPr>
          <w:iCs/>
          <w:noProof/>
        </w:rPr>
      </w:pPr>
      <w:r>
        <w:rPr>
          <w:noProof/>
        </w:rPr>
        <w:t xml:space="preserve">Intéressement, </w:t>
      </w:r>
      <w:r>
        <w:rPr>
          <w:i/>
          <w:iCs/>
          <w:noProof/>
        </w:rPr>
        <w:t>18</w:t>
      </w:r>
    </w:p>
    <w:p w14:paraId="7E1DB568" w14:textId="77777777" w:rsidR="000C6A7B" w:rsidRDefault="000C6A7B">
      <w:pPr>
        <w:pStyle w:val="Index1"/>
        <w:tabs>
          <w:tab w:val="right" w:leader="dot" w:pos="4172"/>
        </w:tabs>
        <w:rPr>
          <w:iCs/>
          <w:noProof/>
        </w:rPr>
      </w:pPr>
      <w:r>
        <w:rPr>
          <w:noProof/>
        </w:rPr>
        <w:t xml:space="preserve">Maître d’Ouvrage, </w:t>
      </w:r>
      <w:r>
        <w:rPr>
          <w:i/>
          <w:iCs/>
          <w:noProof/>
        </w:rPr>
        <w:t>23</w:t>
      </w:r>
    </w:p>
    <w:p w14:paraId="54C5581B" w14:textId="77777777" w:rsidR="000C6A7B" w:rsidRDefault="000C6A7B">
      <w:pPr>
        <w:pStyle w:val="Index1"/>
        <w:tabs>
          <w:tab w:val="right" w:leader="dot" w:pos="4172"/>
        </w:tabs>
        <w:rPr>
          <w:iCs/>
          <w:noProof/>
        </w:rPr>
      </w:pPr>
      <w:r>
        <w:rPr>
          <w:noProof/>
        </w:rPr>
        <w:t xml:space="preserve">Pénalités, </w:t>
      </w:r>
      <w:r>
        <w:rPr>
          <w:i/>
          <w:iCs/>
          <w:noProof/>
        </w:rPr>
        <w:t>37</w:t>
      </w:r>
    </w:p>
    <w:p w14:paraId="31D1F16E" w14:textId="77777777" w:rsidR="000C6A7B" w:rsidRDefault="000C6A7B">
      <w:pPr>
        <w:pStyle w:val="Index1"/>
        <w:tabs>
          <w:tab w:val="right" w:leader="dot" w:pos="4172"/>
        </w:tabs>
        <w:rPr>
          <w:iCs/>
          <w:noProof/>
        </w:rPr>
      </w:pPr>
      <w:r>
        <w:rPr>
          <w:noProof/>
        </w:rPr>
        <w:t xml:space="preserve">Prix, </w:t>
      </w:r>
      <w:r>
        <w:rPr>
          <w:i/>
          <w:iCs/>
          <w:noProof/>
        </w:rPr>
        <w:t>38</w:t>
      </w:r>
    </w:p>
    <w:p w14:paraId="5E27D8D5" w14:textId="77777777" w:rsidR="000C6A7B" w:rsidRDefault="000C6A7B">
      <w:pPr>
        <w:pStyle w:val="Index1"/>
        <w:tabs>
          <w:tab w:val="right" w:leader="dot" w:pos="4172"/>
        </w:tabs>
        <w:rPr>
          <w:iCs/>
          <w:noProof/>
        </w:rPr>
      </w:pPr>
      <w:r>
        <w:rPr>
          <w:noProof/>
        </w:rPr>
        <w:t xml:space="preserve">Procédures de passation, </w:t>
      </w:r>
      <w:r>
        <w:rPr>
          <w:i/>
          <w:iCs/>
          <w:noProof/>
        </w:rPr>
        <w:t>13</w:t>
      </w:r>
    </w:p>
    <w:p w14:paraId="39B65558" w14:textId="77777777" w:rsidR="000C6A7B" w:rsidRDefault="000C6A7B">
      <w:pPr>
        <w:pStyle w:val="Index1"/>
        <w:tabs>
          <w:tab w:val="right" w:leader="dot" w:pos="4172"/>
        </w:tabs>
        <w:rPr>
          <w:iCs/>
          <w:noProof/>
        </w:rPr>
      </w:pPr>
      <w:r>
        <w:rPr>
          <w:noProof/>
        </w:rPr>
        <w:t xml:space="preserve">Résiliation, </w:t>
      </w:r>
      <w:r>
        <w:rPr>
          <w:i/>
          <w:iCs/>
          <w:noProof/>
        </w:rPr>
        <w:t>19</w:t>
      </w:r>
    </w:p>
    <w:p w14:paraId="22F4F560" w14:textId="77777777" w:rsidR="000C6A7B" w:rsidRDefault="000C6A7B">
      <w:pPr>
        <w:pStyle w:val="Index1"/>
        <w:tabs>
          <w:tab w:val="right" w:leader="dot" w:pos="4172"/>
        </w:tabs>
        <w:rPr>
          <w:iCs/>
          <w:noProof/>
        </w:rPr>
      </w:pPr>
      <w:r>
        <w:rPr>
          <w:noProof/>
        </w:rPr>
        <w:t xml:space="preserve">Sensibilisation, </w:t>
      </w:r>
      <w:r>
        <w:rPr>
          <w:i/>
          <w:iCs/>
          <w:noProof/>
        </w:rPr>
        <w:t>19</w:t>
      </w:r>
    </w:p>
    <w:p w14:paraId="2A7626A3" w14:textId="77777777" w:rsidR="000C6A7B" w:rsidRDefault="000C6A7B">
      <w:pPr>
        <w:pStyle w:val="Index1"/>
        <w:tabs>
          <w:tab w:val="right" w:leader="dot" w:pos="4172"/>
        </w:tabs>
        <w:rPr>
          <w:iCs/>
          <w:noProof/>
        </w:rPr>
      </w:pPr>
      <w:r>
        <w:rPr>
          <w:noProof/>
        </w:rPr>
        <w:t xml:space="preserve">Situation de Référence, </w:t>
      </w:r>
      <w:r>
        <w:rPr>
          <w:i/>
          <w:iCs/>
          <w:noProof/>
        </w:rPr>
        <w:t>15</w:t>
      </w:r>
    </w:p>
    <w:p w14:paraId="11B50EFD" w14:textId="77777777" w:rsidR="000C6A7B" w:rsidRDefault="000C6A7B">
      <w:pPr>
        <w:pStyle w:val="Index1"/>
        <w:tabs>
          <w:tab w:val="right" w:leader="dot" w:pos="4172"/>
        </w:tabs>
        <w:rPr>
          <w:noProof/>
        </w:rPr>
      </w:pPr>
      <w:r>
        <w:rPr>
          <w:noProof/>
        </w:rPr>
        <w:t>Sous-performance, 17</w:t>
      </w:r>
    </w:p>
    <w:p w14:paraId="6A0CB63B" w14:textId="77777777" w:rsidR="000C6A7B" w:rsidRDefault="000C6A7B">
      <w:pPr>
        <w:pStyle w:val="Index1"/>
        <w:tabs>
          <w:tab w:val="right" w:leader="dot" w:pos="4172"/>
        </w:tabs>
        <w:rPr>
          <w:iCs/>
          <w:noProof/>
        </w:rPr>
      </w:pPr>
      <w:r>
        <w:rPr>
          <w:noProof/>
        </w:rPr>
        <w:t xml:space="preserve">Sous-traitance, </w:t>
      </w:r>
      <w:r>
        <w:rPr>
          <w:i/>
          <w:iCs/>
          <w:noProof/>
        </w:rPr>
        <w:t>26</w:t>
      </w:r>
    </w:p>
    <w:p w14:paraId="04B7E9BA" w14:textId="77777777" w:rsidR="000C6A7B" w:rsidRDefault="000C6A7B">
      <w:pPr>
        <w:pStyle w:val="Index1"/>
        <w:tabs>
          <w:tab w:val="right" w:leader="dot" w:pos="4172"/>
        </w:tabs>
        <w:rPr>
          <w:iCs/>
          <w:noProof/>
        </w:rPr>
      </w:pPr>
      <w:r>
        <w:rPr>
          <w:noProof/>
        </w:rPr>
        <w:t xml:space="preserve">Sur-performance, </w:t>
      </w:r>
      <w:r>
        <w:rPr>
          <w:i/>
          <w:iCs/>
          <w:noProof/>
        </w:rPr>
        <w:t>18</w:t>
      </w:r>
    </w:p>
    <w:p w14:paraId="1E8E3474" w14:textId="77777777" w:rsidR="000C6A7B" w:rsidRDefault="000C6A7B">
      <w:pPr>
        <w:pStyle w:val="Index1"/>
        <w:tabs>
          <w:tab w:val="right" w:leader="dot" w:pos="4172"/>
        </w:tabs>
        <w:rPr>
          <w:iCs/>
          <w:noProof/>
        </w:rPr>
      </w:pPr>
      <w:r>
        <w:rPr>
          <w:noProof/>
        </w:rPr>
        <w:t xml:space="preserve">Titulaire, </w:t>
      </w:r>
      <w:r>
        <w:rPr>
          <w:i/>
          <w:iCs/>
          <w:noProof/>
        </w:rPr>
        <w:t>24</w:t>
      </w:r>
    </w:p>
    <w:p w14:paraId="507EFC3D" w14:textId="77777777" w:rsidR="000C6A7B" w:rsidRDefault="000C6A7B">
      <w:pPr>
        <w:pStyle w:val="Index2"/>
        <w:tabs>
          <w:tab w:val="right" w:leader="dot" w:pos="4172"/>
        </w:tabs>
        <w:rPr>
          <w:iCs/>
          <w:noProof/>
        </w:rPr>
      </w:pPr>
      <w:r>
        <w:rPr>
          <w:noProof/>
        </w:rPr>
        <w:t xml:space="preserve">Groupement, </w:t>
      </w:r>
      <w:r>
        <w:rPr>
          <w:i/>
          <w:iCs/>
          <w:noProof/>
        </w:rPr>
        <w:t>25</w:t>
      </w:r>
    </w:p>
    <w:p w14:paraId="329F8F8C" w14:textId="77777777" w:rsidR="000C6A7B" w:rsidRDefault="000C6A7B">
      <w:pPr>
        <w:pStyle w:val="Index1"/>
        <w:tabs>
          <w:tab w:val="right" w:leader="dot" w:pos="4172"/>
        </w:tabs>
        <w:rPr>
          <w:iCs/>
          <w:noProof/>
        </w:rPr>
      </w:pPr>
      <w:r>
        <w:rPr>
          <w:noProof/>
        </w:rPr>
        <w:t xml:space="preserve">Tunnel de Neutralisation, </w:t>
      </w:r>
      <w:r>
        <w:rPr>
          <w:i/>
          <w:iCs/>
          <w:noProof/>
        </w:rPr>
        <w:t>17</w:t>
      </w:r>
    </w:p>
    <w:p w14:paraId="3243BB3D" w14:textId="2E52AA1A" w:rsidR="00810A8C" w:rsidRPr="00810A8C" w:rsidRDefault="00CF511B" w:rsidP="00A9634D">
      <w:pPr>
        <w:spacing w:line="240" w:lineRule="auto"/>
      </w:pPr>
      <w:r>
        <w:fldChar w:fldCharType="end"/>
      </w:r>
    </w:p>
    <w:p w14:paraId="4A93DC88" w14:textId="77777777" w:rsidR="008C4E88" w:rsidRDefault="008C4E88" w:rsidP="00A9634D">
      <w:pPr>
        <w:pStyle w:val="Titre1"/>
        <w:spacing w:line="240" w:lineRule="auto"/>
        <w:sectPr w:rsidR="008C4E88" w:rsidSect="00334362">
          <w:type w:val="continuous"/>
          <w:pgSz w:w="11906" w:h="16838"/>
          <w:pgMar w:top="1417" w:right="1417" w:bottom="1417" w:left="1417" w:header="708" w:footer="708" w:gutter="0"/>
          <w:cols w:num="2" w:space="708"/>
          <w:docGrid w:linePitch="360"/>
        </w:sectPr>
      </w:pPr>
    </w:p>
    <w:p w14:paraId="2BDC1771" w14:textId="77777777" w:rsidR="00334362" w:rsidRDefault="00334362" w:rsidP="00A9634D">
      <w:pPr>
        <w:spacing w:line="240" w:lineRule="auto"/>
        <w:rPr>
          <w:b/>
          <w:bCs/>
          <w:sz w:val="36"/>
          <w:szCs w:val="36"/>
        </w:rPr>
      </w:pPr>
      <w:r>
        <w:br w:type="page"/>
      </w:r>
    </w:p>
    <w:p w14:paraId="36918AFE" w14:textId="509D792A" w:rsidR="00F46D3D" w:rsidRPr="00334362" w:rsidRDefault="00F46D3D" w:rsidP="00A9634D">
      <w:pPr>
        <w:pStyle w:val="Titre1"/>
        <w:spacing w:line="240" w:lineRule="auto"/>
      </w:pPr>
      <w:bookmarkStart w:id="72" w:name="_Toc112749054"/>
      <w:r w:rsidRPr="00334362">
        <w:lastRenderedPageBreak/>
        <w:t>Annexe</w:t>
      </w:r>
      <w:r w:rsidR="00334362" w:rsidRPr="00334362">
        <w:t xml:space="preserve"> : </w:t>
      </w:r>
      <w:r w:rsidRPr="00334362">
        <w:t>Groupe de travail</w:t>
      </w:r>
      <w:bookmarkEnd w:id="72"/>
    </w:p>
    <w:p w14:paraId="3B06D056" w14:textId="77777777" w:rsidR="00F46D3D" w:rsidRPr="00102CD9" w:rsidRDefault="00F46D3D" w:rsidP="00A9634D">
      <w:pPr>
        <w:spacing w:line="240" w:lineRule="auto"/>
        <w:jc w:val="both"/>
        <w:rPr>
          <w:b/>
          <w:bCs/>
        </w:rPr>
      </w:pPr>
      <w:r>
        <w:rPr>
          <w:b/>
          <w:bCs/>
        </w:rPr>
        <w:t>L</w:t>
      </w:r>
      <w:r w:rsidRPr="00102CD9">
        <w:rPr>
          <w:b/>
          <w:bCs/>
        </w:rPr>
        <w:t>es membres du groupe de travail :</w:t>
      </w:r>
    </w:p>
    <w:tbl>
      <w:tblPr>
        <w:tblStyle w:val="Grilledutableau"/>
        <w:tblW w:w="9610" w:type="dxa"/>
        <w:tblLook w:val="04A0" w:firstRow="1" w:lastRow="0" w:firstColumn="1" w:lastColumn="0" w:noHBand="0" w:noVBand="1"/>
      </w:tblPr>
      <w:tblGrid>
        <w:gridCol w:w="3598"/>
        <w:gridCol w:w="3006"/>
        <w:gridCol w:w="3006"/>
      </w:tblGrid>
      <w:tr w:rsidR="00F46D3D" w:rsidRPr="001163AC" w14:paraId="4424A68F" w14:textId="77777777" w:rsidTr="00865AA7">
        <w:trPr>
          <w:trHeight w:val="218"/>
        </w:trPr>
        <w:tc>
          <w:tcPr>
            <w:tcW w:w="3598" w:type="dxa"/>
            <w:noWrap/>
            <w:hideMark/>
          </w:tcPr>
          <w:p w14:paraId="0F733602" w14:textId="77777777" w:rsidR="00F46D3D" w:rsidRPr="001163AC" w:rsidRDefault="00F46D3D">
            <w:pPr>
              <w:jc w:val="both"/>
            </w:pPr>
            <w:r w:rsidRPr="001163AC">
              <w:t>SICECO</w:t>
            </w:r>
          </w:p>
        </w:tc>
        <w:tc>
          <w:tcPr>
            <w:tcW w:w="3006" w:type="dxa"/>
            <w:noWrap/>
            <w:hideMark/>
          </w:tcPr>
          <w:p w14:paraId="51EB9822" w14:textId="77777777" w:rsidR="00F46D3D" w:rsidRPr="001163AC" w:rsidRDefault="00F46D3D">
            <w:pPr>
              <w:jc w:val="both"/>
            </w:pPr>
            <w:r w:rsidRPr="001163AC">
              <w:t>ANCERY</w:t>
            </w:r>
          </w:p>
        </w:tc>
        <w:tc>
          <w:tcPr>
            <w:tcW w:w="3006" w:type="dxa"/>
            <w:noWrap/>
            <w:hideMark/>
          </w:tcPr>
          <w:p w14:paraId="56382D09" w14:textId="77777777" w:rsidR="00F46D3D" w:rsidRPr="001163AC" w:rsidRDefault="00F46D3D">
            <w:pPr>
              <w:jc w:val="both"/>
            </w:pPr>
            <w:r w:rsidRPr="001163AC">
              <w:t>Manon</w:t>
            </w:r>
          </w:p>
        </w:tc>
      </w:tr>
      <w:tr w:rsidR="00F46D3D" w:rsidRPr="001163AC" w14:paraId="4BD2EEE3" w14:textId="77777777" w:rsidTr="00865AA7">
        <w:trPr>
          <w:trHeight w:val="264"/>
        </w:trPr>
        <w:tc>
          <w:tcPr>
            <w:tcW w:w="3598" w:type="dxa"/>
            <w:hideMark/>
          </w:tcPr>
          <w:p w14:paraId="4D169231" w14:textId="77777777" w:rsidR="00F46D3D" w:rsidRPr="001163AC" w:rsidRDefault="00F46D3D">
            <w:pPr>
              <w:jc w:val="both"/>
            </w:pPr>
            <w:r w:rsidRPr="001163AC">
              <w:t>VINCI ENERGIES MANAGEMENT</w:t>
            </w:r>
          </w:p>
        </w:tc>
        <w:tc>
          <w:tcPr>
            <w:tcW w:w="3006" w:type="dxa"/>
            <w:hideMark/>
          </w:tcPr>
          <w:p w14:paraId="75F33E42" w14:textId="77777777" w:rsidR="00F46D3D" w:rsidRPr="001163AC" w:rsidRDefault="00F46D3D">
            <w:pPr>
              <w:jc w:val="both"/>
            </w:pPr>
            <w:r w:rsidRPr="001163AC">
              <w:t>BLANCHET</w:t>
            </w:r>
          </w:p>
        </w:tc>
        <w:tc>
          <w:tcPr>
            <w:tcW w:w="3006" w:type="dxa"/>
            <w:hideMark/>
          </w:tcPr>
          <w:p w14:paraId="0FA86FBA" w14:textId="77777777" w:rsidR="00F46D3D" w:rsidRPr="001163AC" w:rsidRDefault="00F46D3D">
            <w:pPr>
              <w:jc w:val="both"/>
            </w:pPr>
            <w:r w:rsidRPr="001163AC">
              <w:t>Pierre</w:t>
            </w:r>
          </w:p>
        </w:tc>
      </w:tr>
      <w:tr w:rsidR="00F46D3D" w:rsidRPr="001163AC" w14:paraId="57B717E8" w14:textId="77777777" w:rsidTr="00865AA7">
        <w:trPr>
          <w:trHeight w:val="264"/>
        </w:trPr>
        <w:tc>
          <w:tcPr>
            <w:tcW w:w="3598" w:type="dxa"/>
            <w:hideMark/>
          </w:tcPr>
          <w:p w14:paraId="76235CC5" w14:textId="77777777" w:rsidR="00F46D3D" w:rsidRPr="001163AC" w:rsidRDefault="00F46D3D">
            <w:pPr>
              <w:jc w:val="both"/>
            </w:pPr>
            <w:r w:rsidRPr="001163AC">
              <w:t>MAIRIE DE PARIS</w:t>
            </w:r>
          </w:p>
        </w:tc>
        <w:tc>
          <w:tcPr>
            <w:tcW w:w="3006" w:type="dxa"/>
            <w:hideMark/>
          </w:tcPr>
          <w:p w14:paraId="45AAD765" w14:textId="77777777" w:rsidR="00F46D3D" w:rsidRPr="001163AC" w:rsidRDefault="00F46D3D">
            <w:pPr>
              <w:jc w:val="both"/>
            </w:pPr>
            <w:r w:rsidRPr="001163AC">
              <w:t>BOCQUILLON</w:t>
            </w:r>
          </w:p>
        </w:tc>
        <w:tc>
          <w:tcPr>
            <w:tcW w:w="3006" w:type="dxa"/>
            <w:hideMark/>
          </w:tcPr>
          <w:p w14:paraId="461611D6" w14:textId="77777777" w:rsidR="00F46D3D" w:rsidRPr="001163AC" w:rsidRDefault="00F46D3D">
            <w:pPr>
              <w:jc w:val="both"/>
            </w:pPr>
            <w:r w:rsidRPr="001163AC">
              <w:t>Philippe</w:t>
            </w:r>
          </w:p>
        </w:tc>
      </w:tr>
      <w:tr w:rsidR="00F46D3D" w:rsidRPr="001163AC" w14:paraId="012BC107" w14:textId="77777777" w:rsidTr="00865AA7">
        <w:trPr>
          <w:trHeight w:val="264"/>
        </w:trPr>
        <w:tc>
          <w:tcPr>
            <w:tcW w:w="3598" w:type="dxa"/>
            <w:hideMark/>
          </w:tcPr>
          <w:p w14:paraId="261CFEF7" w14:textId="77777777" w:rsidR="00F46D3D" w:rsidRPr="001163AC" w:rsidRDefault="00F46D3D">
            <w:pPr>
              <w:jc w:val="both"/>
            </w:pPr>
            <w:r w:rsidRPr="001163AC">
              <w:t>SPL OSER</w:t>
            </w:r>
          </w:p>
        </w:tc>
        <w:tc>
          <w:tcPr>
            <w:tcW w:w="3006" w:type="dxa"/>
            <w:hideMark/>
          </w:tcPr>
          <w:p w14:paraId="416E21D9" w14:textId="77777777" w:rsidR="00F46D3D" w:rsidRPr="001163AC" w:rsidRDefault="00F46D3D">
            <w:pPr>
              <w:jc w:val="both"/>
            </w:pPr>
            <w:r w:rsidRPr="001163AC">
              <w:t>BOGIRAUD</w:t>
            </w:r>
          </w:p>
        </w:tc>
        <w:tc>
          <w:tcPr>
            <w:tcW w:w="3006" w:type="dxa"/>
            <w:hideMark/>
          </w:tcPr>
          <w:p w14:paraId="39154CB0" w14:textId="77777777" w:rsidR="00F46D3D" w:rsidRPr="001163AC" w:rsidRDefault="00F46D3D">
            <w:pPr>
              <w:jc w:val="both"/>
            </w:pPr>
            <w:r w:rsidRPr="001163AC">
              <w:t>Laurent</w:t>
            </w:r>
          </w:p>
        </w:tc>
      </w:tr>
      <w:tr w:rsidR="00F46D3D" w:rsidRPr="001163AC" w14:paraId="5230EC18" w14:textId="77777777" w:rsidTr="00865AA7">
        <w:trPr>
          <w:trHeight w:val="218"/>
        </w:trPr>
        <w:tc>
          <w:tcPr>
            <w:tcW w:w="3598" w:type="dxa"/>
            <w:noWrap/>
            <w:hideMark/>
          </w:tcPr>
          <w:p w14:paraId="0698C8CB" w14:textId="77777777" w:rsidR="00F46D3D" w:rsidRPr="001163AC" w:rsidRDefault="00F46D3D">
            <w:pPr>
              <w:jc w:val="both"/>
            </w:pPr>
            <w:r w:rsidRPr="001163AC">
              <w:t>ENGIE SOLUTIONS</w:t>
            </w:r>
          </w:p>
        </w:tc>
        <w:tc>
          <w:tcPr>
            <w:tcW w:w="3006" w:type="dxa"/>
            <w:noWrap/>
            <w:hideMark/>
          </w:tcPr>
          <w:p w14:paraId="2E5BBD69" w14:textId="77777777" w:rsidR="00F46D3D" w:rsidRPr="001163AC" w:rsidRDefault="00F46D3D">
            <w:pPr>
              <w:jc w:val="both"/>
            </w:pPr>
            <w:r w:rsidRPr="001163AC">
              <w:t>BOUTET</w:t>
            </w:r>
          </w:p>
        </w:tc>
        <w:tc>
          <w:tcPr>
            <w:tcW w:w="3006" w:type="dxa"/>
            <w:noWrap/>
            <w:hideMark/>
          </w:tcPr>
          <w:p w14:paraId="107E23D2" w14:textId="77777777" w:rsidR="00F46D3D" w:rsidRPr="001163AC" w:rsidRDefault="00F46D3D">
            <w:pPr>
              <w:jc w:val="both"/>
            </w:pPr>
            <w:r w:rsidRPr="001163AC">
              <w:t>Victor</w:t>
            </w:r>
          </w:p>
        </w:tc>
      </w:tr>
      <w:tr w:rsidR="00F46D3D" w:rsidRPr="001163AC" w14:paraId="70563F19" w14:textId="77777777" w:rsidTr="00865AA7">
        <w:trPr>
          <w:trHeight w:val="264"/>
        </w:trPr>
        <w:tc>
          <w:tcPr>
            <w:tcW w:w="3598" w:type="dxa"/>
            <w:hideMark/>
          </w:tcPr>
          <w:p w14:paraId="39DE2AC6" w14:textId="77777777" w:rsidR="00F46D3D" w:rsidRPr="001163AC" w:rsidRDefault="00F46D3D">
            <w:pPr>
              <w:jc w:val="both"/>
            </w:pPr>
            <w:r w:rsidRPr="001163AC">
              <w:t>MAIRIE DE VITRY-SUR-SEINE</w:t>
            </w:r>
          </w:p>
        </w:tc>
        <w:tc>
          <w:tcPr>
            <w:tcW w:w="3006" w:type="dxa"/>
            <w:hideMark/>
          </w:tcPr>
          <w:p w14:paraId="1B1BCC31" w14:textId="77777777" w:rsidR="00F46D3D" w:rsidRPr="001163AC" w:rsidRDefault="00F46D3D">
            <w:pPr>
              <w:jc w:val="both"/>
            </w:pPr>
            <w:r w:rsidRPr="001163AC">
              <w:t>CROSSAY</w:t>
            </w:r>
          </w:p>
        </w:tc>
        <w:tc>
          <w:tcPr>
            <w:tcW w:w="3006" w:type="dxa"/>
            <w:hideMark/>
          </w:tcPr>
          <w:p w14:paraId="14753A9C" w14:textId="77777777" w:rsidR="00F46D3D" w:rsidRPr="001163AC" w:rsidRDefault="00F46D3D">
            <w:pPr>
              <w:jc w:val="both"/>
            </w:pPr>
            <w:r w:rsidRPr="001163AC">
              <w:t>Alexandre</w:t>
            </w:r>
          </w:p>
        </w:tc>
      </w:tr>
      <w:tr w:rsidR="00F46D3D" w:rsidRPr="001163AC" w14:paraId="75414D7C" w14:textId="77777777" w:rsidTr="00865AA7">
        <w:trPr>
          <w:trHeight w:val="264"/>
        </w:trPr>
        <w:tc>
          <w:tcPr>
            <w:tcW w:w="3598" w:type="dxa"/>
            <w:hideMark/>
          </w:tcPr>
          <w:p w14:paraId="37BF8669" w14:textId="77777777" w:rsidR="00F46D3D" w:rsidRPr="001163AC" w:rsidRDefault="00F46D3D">
            <w:pPr>
              <w:jc w:val="both"/>
            </w:pPr>
            <w:r w:rsidRPr="001163AC">
              <w:t>SIPPEREC</w:t>
            </w:r>
          </w:p>
        </w:tc>
        <w:tc>
          <w:tcPr>
            <w:tcW w:w="3006" w:type="dxa"/>
            <w:noWrap/>
            <w:hideMark/>
          </w:tcPr>
          <w:p w14:paraId="49944C60" w14:textId="77777777" w:rsidR="00F46D3D" w:rsidRPr="001163AC" w:rsidRDefault="00F46D3D">
            <w:pPr>
              <w:jc w:val="both"/>
            </w:pPr>
            <w:r w:rsidRPr="001163AC">
              <w:t xml:space="preserve">DEBOUCHE </w:t>
            </w:r>
          </w:p>
        </w:tc>
        <w:tc>
          <w:tcPr>
            <w:tcW w:w="3006" w:type="dxa"/>
            <w:hideMark/>
          </w:tcPr>
          <w:p w14:paraId="5942DDBC" w14:textId="77777777" w:rsidR="00F46D3D" w:rsidRPr="001163AC" w:rsidRDefault="00F46D3D">
            <w:pPr>
              <w:jc w:val="both"/>
            </w:pPr>
            <w:r w:rsidRPr="001163AC">
              <w:t>Céline</w:t>
            </w:r>
          </w:p>
        </w:tc>
      </w:tr>
      <w:tr w:rsidR="00F46D3D" w:rsidRPr="001163AC" w14:paraId="4D8A7D27" w14:textId="77777777" w:rsidTr="00865AA7">
        <w:trPr>
          <w:trHeight w:val="264"/>
        </w:trPr>
        <w:tc>
          <w:tcPr>
            <w:tcW w:w="3598" w:type="dxa"/>
            <w:hideMark/>
          </w:tcPr>
          <w:p w14:paraId="6546863B" w14:textId="77777777" w:rsidR="00F46D3D" w:rsidRPr="001163AC" w:rsidRDefault="00F46D3D">
            <w:pPr>
              <w:jc w:val="both"/>
            </w:pPr>
            <w:r w:rsidRPr="001163AC">
              <w:t>EIFFAGE ENERGIE SYSTEMES</w:t>
            </w:r>
          </w:p>
        </w:tc>
        <w:tc>
          <w:tcPr>
            <w:tcW w:w="3006" w:type="dxa"/>
            <w:hideMark/>
          </w:tcPr>
          <w:p w14:paraId="5D986CC2" w14:textId="77777777" w:rsidR="00F46D3D" w:rsidRPr="001163AC" w:rsidRDefault="00F46D3D">
            <w:pPr>
              <w:jc w:val="both"/>
            </w:pPr>
            <w:r w:rsidRPr="001163AC">
              <w:t>DESTOMBES</w:t>
            </w:r>
          </w:p>
        </w:tc>
        <w:tc>
          <w:tcPr>
            <w:tcW w:w="3006" w:type="dxa"/>
            <w:hideMark/>
          </w:tcPr>
          <w:p w14:paraId="3B913AD3" w14:textId="77777777" w:rsidR="00F46D3D" w:rsidRPr="001163AC" w:rsidRDefault="00F46D3D">
            <w:pPr>
              <w:jc w:val="both"/>
            </w:pPr>
            <w:r w:rsidRPr="001163AC">
              <w:t>Anaïs</w:t>
            </w:r>
          </w:p>
        </w:tc>
      </w:tr>
      <w:tr w:rsidR="00F46D3D" w:rsidRPr="001163AC" w14:paraId="6F1251E2" w14:textId="77777777" w:rsidTr="00865AA7">
        <w:trPr>
          <w:trHeight w:val="218"/>
        </w:trPr>
        <w:tc>
          <w:tcPr>
            <w:tcW w:w="3598" w:type="dxa"/>
            <w:hideMark/>
          </w:tcPr>
          <w:p w14:paraId="54F02C77" w14:textId="77777777" w:rsidR="00F46D3D" w:rsidRPr="001163AC" w:rsidRDefault="00F46D3D">
            <w:pPr>
              <w:jc w:val="both"/>
            </w:pPr>
            <w:r w:rsidRPr="001163AC">
              <w:t>LILLE METROPOLE</w:t>
            </w:r>
          </w:p>
        </w:tc>
        <w:tc>
          <w:tcPr>
            <w:tcW w:w="3006" w:type="dxa"/>
            <w:noWrap/>
            <w:hideMark/>
          </w:tcPr>
          <w:p w14:paraId="1CE6AF45" w14:textId="77777777" w:rsidR="00F46D3D" w:rsidRPr="001163AC" w:rsidRDefault="00F46D3D">
            <w:pPr>
              <w:jc w:val="both"/>
            </w:pPr>
            <w:r w:rsidRPr="001163AC">
              <w:t>DUPUIS</w:t>
            </w:r>
          </w:p>
        </w:tc>
        <w:tc>
          <w:tcPr>
            <w:tcW w:w="3006" w:type="dxa"/>
            <w:hideMark/>
          </w:tcPr>
          <w:p w14:paraId="58DE9BF8" w14:textId="77777777" w:rsidR="00F46D3D" w:rsidRPr="001163AC" w:rsidRDefault="00F46D3D">
            <w:pPr>
              <w:jc w:val="both"/>
            </w:pPr>
            <w:r w:rsidRPr="001163AC">
              <w:t xml:space="preserve">Laura </w:t>
            </w:r>
          </w:p>
        </w:tc>
      </w:tr>
      <w:tr w:rsidR="00F46D3D" w:rsidRPr="001163AC" w14:paraId="0E3C65A8" w14:textId="77777777" w:rsidTr="00865AA7">
        <w:trPr>
          <w:trHeight w:val="264"/>
        </w:trPr>
        <w:tc>
          <w:tcPr>
            <w:tcW w:w="3598" w:type="dxa"/>
            <w:hideMark/>
          </w:tcPr>
          <w:p w14:paraId="2CDC2E4F" w14:textId="77777777" w:rsidR="00F46D3D" w:rsidRPr="001163AC" w:rsidRDefault="00F46D3D">
            <w:pPr>
              <w:jc w:val="both"/>
            </w:pPr>
            <w:r w:rsidRPr="001163AC">
              <w:t>SERCE</w:t>
            </w:r>
          </w:p>
        </w:tc>
        <w:tc>
          <w:tcPr>
            <w:tcW w:w="3006" w:type="dxa"/>
            <w:hideMark/>
          </w:tcPr>
          <w:p w14:paraId="15E9530F" w14:textId="77777777" w:rsidR="00F46D3D" w:rsidRPr="001163AC" w:rsidRDefault="00F46D3D">
            <w:pPr>
              <w:jc w:val="both"/>
            </w:pPr>
            <w:r w:rsidRPr="001163AC">
              <w:t>DUROUX</w:t>
            </w:r>
          </w:p>
        </w:tc>
        <w:tc>
          <w:tcPr>
            <w:tcW w:w="3006" w:type="dxa"/>
            <w:hideMark/>
          </w:tcPr>
          <w:p w14:paraId="33242F6E" w14:textId="77777777" w:rsidR="00F46D3D" w:rsidRPr="001163AC" w:rsidRDefault="00F46D3D">
            <w:pPr>
              <w:jc w:val="both"/>
            </w:pPr>
            <w:r w:rsidRPr="001163AC">
              <w:t>Gilles</w:t>
            </w:r>
          </w:p>
        </w:tc>
      </w:tr>
      <w:tr w:rsidR="00F46D3D" w:rsidRPr="001163AC" w14:paraId="2F8D0391" w14:textId="77777777" w:rsidTr="00865AA7">
        <w:trPr>
          <w:trHeight w:val="264"/>
        </w:trPr>
        <w:tc>
          <w:tcPr>
            <w:tcW w:w="3598" w:type="dxa"/>
            <w:noWrap/>
            <w:hideMark/>
          </w:tcPr>
          <w:p w14:paraId="3E149794" w14:textId="77777777" w:rsidR="00F46D3D" w:rsidRPr="001163AC" w:rsidRDefault="00F46D3D">
            <w:pPr>
              <w:jc w:val="both"/>
            </w:pPr>
            <w:r w:rsidRPr="001163AC">
              <w:t>SERCE</w:t>
            </w:r>
          </w:p>
        </w:tc>
        <w:tc>
          <w:tcPr>
            <w:tcW w:w="3006" w:type="dxa"/>
            <w:noWrap/>
            <w:hideMark/>
          </w:tcPr>
          <w:p w14:paraId="3707CF6D" w14:textId="77777777" w:rsidR="00F46D3D" w:rsidRPr="001163AC" w:rsidRDefault="00F46D3D">
            <w:pPr>
              <w:jc w:val="both"/>
            </w:pPr>
            <w:r w:rsidRPr="001163AC">
              <w:t>DURUOHA</w:t>
            </w:r>
          </w:p>
        </w:tc>
        <w:tc>
          <w:tcPr>
            <w:tcW w:w="3006" w:type="dxa"/>
            <w:noWrap/>
            <w:hideMark/>
          </w:tcPr>
          <w:p w14:paraId="41AD4717" w14:textId="77777777" w:rsidR="00F46D3D" w:rsidRPr="001163AC" w:rsidRDefault="00F46D3D">
            <w:pPr>
              <w:jc w:val="both"/>
            </w:pPr>
            <w:r w:rsidRPr="001163AC">
              <w:t>Thierry</w:t>
            </w:r>
          </w:p>
        </w:tc>
      </w:tr>
      <w:tr w:rsidR="00F46D3D" w:rsidRPr="001163AC" w14:paraId="1D7CF1D8" w14:textId="77777777" w:rsidTr="00865AA7">
        <w:trPr>
          <w:trHeight w:val="218"/>
        </w:trPr>
        <w:tc>
          <w:tcPr>
            <w:tcW w:w="3598" w:type="dxa"/>
            <w:hideMark/>
          </w:tcPr>
          <w:p w14:paraId="4FCE8CB8" w14:textId="77777777" w:rsidR="00F46D3D" w:rsidRPr="001163AC" w:rsidRDefault="00F46D3D">
            <w:pPr>
              <w:jc w:val="both"/>
            </w:pPr>
            <w:r w:rsidRPr="001163AC">
              <w:t>VILLE DE LYON</w:t>
            </w:r>
          </w:p>
        </w:tc>
        <w:tc>
          <w:tcPr>
            <w:tcW w:w="3006" w:type="dxa"/>
            <w:hideMark/>
          </w:tcPr>
          <w:p w14:paraId="41F94DC7" w14:textId="77777777" w:rsidR="00F46D3D" w:rsidRPr="001163AC" w:rsidRDefault="00F46D3D">
            <w:pPr>
              <w:jc w:val="both"/>
            </w:pPr>
            <w:r w:rsidRPr="001163AC">
              <w:t>GUILHOT</w:t>
            </w:r>
          </w:p>
        </w:tc>
        <w:tc>
          <w:tcPr>
            <w:tcW w:w="3006" w:type="dxa"/>
            <w:hideMark/>
          </w:tcPr>
          <w:p w14:paraId="1429AA74" w14:textId="77777777" w:rsidR="00F46D3D" w:rsidRPr="001163AC" w:rsidRDefault="00F46D3D">
            <w:pPr>
              <w:jc w:val="both"/>
            </w:pPr>
            <w:r w:rsidRPr="001163AC">
              <w:t>Anne</w:t>
            </w:r>
          </w:p>
        </w:tc>
      </w:tr>
      <w:tr w:rsidR="00F46D3D" w:rsidRPr="001163AC" w14:paraId="10A75BD7" w14:textId="77777777" w:rsidTr="00865AA7">
        <w:trPr>
          <w:trHeight w:val="218"/>
        </w:trPr>
        <w:tc>
          <w:tcPr>
            <w:tcW w:w="3598" w:type="dxa"/>
            <w:hideMark/>
          </w:tcPr>
          <w:p w14:paraId="5D56ACCE" w14:textId="77777777" w:rsidR="00F46D3D" w:rsidRPr="001163AC" w:rsidRDefault="00F46D3D">
            <w:pPr>
              <w:jc w:val="both"/>
            </w:pPr>
            <w:r w:rsidRPr="001163AC">
              <w:t>SNEC - FEDENE</w:t>
            </w:r>
          </w:p>
        </w:tc>
        <w:tc>
          <w:tcPr>
            <w:tcW w:w="3006" w:type="dxa"/>
            <w:hideMark/>
          </w:tcPr>
          <w:p w14:paraId="613043A9" w14:textId="77777777" w:rsidR="00F46D3D" w:rsidRPr="001163AC" w:rsidRDefault="00F46D3D">
            <w:pPr>
              <w:jc w:val="both"/>
            </w:pPr>
            <w:r w:rsidRPr="001163AC">
              <w:t>GUILLAUME</w:t>
            </w:r>
          </w:p>
        </w:tc>
        <w:tc>
          <w:tcPr>
            <w:tcW w:w="3006" w:type="dxa"/>
            <w:hideMark/>
          </w:tcPr>
          <w:p w14:paraId="13A088A8" w14:textId="77777777" w:rsidR="00F46D3D" w:rsidRPr="001163AC" w:rsidRDefault="00F46D3D">
            <w:pPr>
              <w:jc w:val="both"/>
            </w:pPr>
            <w:r w:rsidRPr="001163AC">
              <w:t>Hugo</w:t>
            </w:r>
          </w:p>
        </w:tc>
      </w:tr>
      <w:tr w:rsidR="00F46D3D" w:rsidRPr="001163AC" w14:paraId="366EBBE7" w14:textId="77777777" w:rsidTr="00865AA7">
        <w:trPr>
          <w:trHeight w:val="264"/>
        </w:trPr>
        <w:tc>
          <w:tcPr>
            <w:tcW w:w="3598" w:type="dxa"/>
            <w:noWrap/>
            <w:hideMark/>
          </w:tcPr>
          <w:p w14:paraId="7F7B1387" w14:textId="77777777" w:rsidR="00F46D3D" w:rsidRPr="001163AC" w:rsidRDefault="00F46D3D">
            <w:pPr>
              <w:jc w:val="both"/>
            </w:pPr>
            <w:r w:rsidRPr="001163AC">
              <w:t>FFB UMGCCP</w:t>
            </w:r>
          </w:p>
        </w:tc>
        <w:tc>
          <w:tcPr>
            <w:tcW w:w="3006" w:type="dxa"/>
            <w:noWrap/>
            <w:hideMark/>
          </w:tcPr>
          <w:p w14:paraId="2FA92CBD" w14:textId="77777777" w:rsidR="00F46D3D" w:rsidRPr="001163AC" w:rsidRDefault="00F46D3D">
            <w:pPr>
              <w:jc w:val="both"/>
            </w:pPr>
            <w:r w:rsidRPr="001163AC">
              <w:t>LANNEREE</w:t>
            </w:r>
          </w:p>
        </w:tc>
        <w:tc>
          <w:tcPr>
            <w:tcW w:w="3006" w:type="dxa"/>
            <w:noWrap/>
            <w:hideMark/>
          </w:tcPr>
          <w:p w14:paraId="08260A88" w14:textId="77777777" w:rsidR="00F46D3D" w:rsidRPr="001163AC" w:rsidRDefault="00F46D3D">
            <w:pPr>
              <w:jc w:val="both"/>
            </w:pPr>
            <w:r w:rsidRPr="001163AC">
              <w:t>Bruno</w:t>
            </w:r>
          </w:p>
        </w:tc>
      </w:tr>
      <w:tr w:rsidR="00F46D3D" w:rsidRPr="001163AC" w14:paraId="55A4E8ED" w14:textId="77777777" w:rsidTr="00865AA7">
        <w:trPr>
          <w:trHeight w:val="264"/>
        </w:trPr>
        <w:tc>
          <w:tcPr>
            <w:tcW w:w="3598" w:type="dxa"/>
            <w:noWrap/>
            <w:hideMark/>
          </w:tcPr>
          <w:p w14:paraId="512B651C" w14:textId="77777777" w:rsidR="00F46D3D" w:rsidRPr="001163AC" w:rsidRDefault="00F46D3D">
            <w:pPr>
              <w:jc w:val="both"/>
            </w:pPr>
            <w:r w:rsidRPr="001163AC">
              <w:t>ENGIE</w:t>
            </w:r>
          </w:p>
        </w:tc>
        <w:tc>
          <w:tcPr>
            <w:tcW w:w="3006" w:type="dxa"/>
            <w:noWrap/>
            <w:hideMark/>
          </w:tcPr>
          <w:p w14:paraId="08D2B4FF" w14:textId="77777777" w:rsidR="00F46D3D" w:rsidRPr="001163AC" w:rsidRDefault="00F46D3D">
            <w:pPr>
              <w:jc w:val="both"/>
            </w:pPr>
            <w:r w:rsidRPr="001163AC">
              <w:t>LAUGIER</w:t>
            </w:r>
          </w:p>
        </w:tc>
        <w:tc>
          <w:tcPr>
            <w:tcW w:w="3006" w:type="dxa"/>
            <w:noWrap/>
            <w:hideMark/>
          </w:tcPr>
          <w:p w14:paraId="16765B9A" w14:textId="77777777" w:rsidR="00F46D3D" w:rsidRPr="001163AC" w:rsidRDefault="00F46D3D">
            <w:pPr>
              <w:jc w:val="both"/>
            </w:pPr>
            <w:r w:rsidRPr="001163AC">
              <w:t>Patrick</w:t>
            </w:r>
          </w:p>
        </w:tc>
      </w:tr>
      <w:tr w:rsidR="00F46D3D" w:rsidRPr="001163AC" w14:paraId="66DC9D02" w14:textId="77777777" w:rsidTr="00865AA7">
        <w:trPr>
          <w:trHeight w:val="264"/>
        </w:trPr>
        <w:tc>
          <w:tcPr>
            <w:tcW w:w="3598" w:type="dxa"/>
            <w:hideMark/>
          </w:tcPr>
          <w:p w14:paraId="3288BEF7" w14:textId="77777777" w:rsidR="00F46D3D" w:rsidRPr="001163AC" w:rsidRDefault="00F46D3D">
            <w:pPr>
              <w:jc w:val="both"/>
            </w:pPr>
            <w:r w:rsidRPr="001163AC">
              <w:t>DALKIA</w:t>
            </w:r>
          </w:p>
        </w:tc>
        <w:tc>
          <w:tcPr>
            <w:tcW w:w="3006" w:type="dxa"/>
            <w:hideMark/>
          </w:tcPr>
          <w:p w14:paraId="4312CEAA" w14:textId="77777777" w:rsidR="00F46D3D" w:rsidRPr="001163AC" w:rsidRDefault="00F46D3D">
            <w:pPr>
              <w:jc w:val="both"/>
            </w:pPr>
            <w:r w:rsidRPr="001163AC">
              <w:t>LEFORT</w:t>
            </w:r>
          </w:p>
        </w:tc>
        <w:tc>
          <w:tcPr>
            <w:tcW w:w="3006" w:type="dxa"/>
            <w:hideMark/>
          </w:tcPr>
          <w:p w14:paraId="438F2DCB" w14:textId="77777777" w:rsidR="00F46D3D" w:rsidRPr="001163AC" w:rsidRDefault="00F46D3D">
            <w:pPr>
              <w:jc w:val="both"/>
            </w:pPr>
            <w:r w:rsidRPr="001163AC">
              <w:t>Jacques</w:t>
            </w:r>
          </w:p>
        </w:tc>
      </w:tr>
      <w:tr w:rsidR="00F46D3D" w:rsidRPr="001163AC" w14:paraId="00CE766A" w14:textId="77777777" w:rsidTr="00865AA7">
        <w:trPr>
          <w:trHeight w:val="264"/>
        </w:trPr>
        <w:tc>
          <w:tcPr>
            <w:tcW w:w="3598" w:type="dxa"/>
            <w:hideMark/>
          </w:tcPr>
          <w:p w14:paraId="388054E1" w14:textId="77777777" w:rsidR="00F46D3D" w:rsidRPr="001163AC" w:rsidRDefault="00F46D3D">
            <w:pPr>
              <w:jc w:val="both"/>
            </w:pPr>
            <w:r w:rsidRPr="001163AC">
              <w:t>VILLE DE PARIS</w:t>
            </w:r>
          </w:p>
        </w:tc>
        <w:tc>
          <w:tcPr>
            <w:tcW w:w="3006" w:type="dxa"/>
            <w:hideMark/>
          </w:tcPr>
          <w:p w14:paraId="2E451EF2" w14:textId="77777777" w:rsidR="00F46D3D" w:rsidRPr="001163AC" w:rsidRDefault="00F46D3D">
            <w:pPr>
              <w:jc w:val="both"/>
            </w:pPr>
            <w:r w:rsidRPr="001163AC">
              <w:t>LI YUNG HSIANG</w:t>
            </w:r>
          </w:p>
        </w:tc>
        <w:tc>
          <w:tcPr>
            <w:tcW w:w="3006" w:type="dxa"/>
            <w:hideMark/>
          </w:tcPr>
          <w:p w14:paraId="2CC0F046" w14:textId="77777777" w:rsidR="00F46D3D" w:rsidRPr="001163AC" w:rsidRDefault="00F46D3D">
            <w:pPr>
              <w:jc w:val="both"/>
            </w:pPr>
            <w:r w:rsidRPr="001163AC">
              <w:t>Julien</w:t>
            </w:r>
          </w:p>
        </w:tc>
      </w:tr>
      <w:tr w:rsidR="00F46D3D" w:rsidRPr="001163AC" w14:paraId="12D97332" w14:textId="77777777" w:rsidTr="00865AA7">
        <w:trPr>
          <w:trHeight w:val="264"/>
        </w:trPr>
        <w:tc>
          <w:tcPr>
            <w:tcW w:w="3598" w:type="dxa"/>
            <w:hideMark/>
          </w:tcPr>
          <w:p w14:paraId="0BA170D7" w14:textId="77777777" w:rsidR="00F46D3D" w:rsidRPr="001163AC" w:rsidRDefault="00F46D3D">
            <w:pPr>
              <w:jc w:val="both"/>
            </w:pPr>
            <w:r w:rsidRPr="001163AC">
              <w:t>IGNES</w:t>
            </w:r>
          </w:p>
        </w:tc>
        <w:tc>
          <w:tcPr>
            <w:tcW w:w="3006" w:type="dxa"/>
            <w:noWrap/>
            <w:hideMark/>
          </w:tcPr>
          <w:p w14:paraId="4B72A1A7" w14:textId="77777777" w:rsidR="00F46D3D" w:rsidRPr="001163AC" w:rsidRDefault="00F46D3D">
            <w:pPr>
              <w:jc w:val="both"/>
            </w:pPr>
            <w:r w:rsidRPr="001163AC">
              <w:t xml:space="preserve">MICHEL </w:t>
            </w:r>
          </w:p>
        </w:tc>
        <w:tc>
          <w:tcPr>
            <w:tcW w:w="3006" w:type="dxa"/>
            <w:hideMark/>
          </w:tcPr>
          <w:p w14:paraId="07B055D5" w14:textId="77777777" w:rsidR="00F46D3D" w:rsidRPr="001163AC" w:rsidRDefault="00F46D3D">
            <w:pPr>
              <w:jc w:val="both"/>
            </w:pPr>
            <w:r w:rsidRPr="001163AC">
              <w:t>Valérie</w:t>
            </w:r>
          </w:p>
        </w:tc>
      </w:tr>
      <w:tr w:rsidR="00F46D3D" w:rsidRPr="001163AC" w14:paraId="1708A022" w14:textId="77777777" w:rsidTr="00865AA7">
        <w:trPr>
          <w:trHeight w:val="264"/>
        </w:trPr>
        <w:tc>
          <w:tcPr>
            <w:tcW w:w="3598" w:type="dxa"/>
            <w:hideMark/>
          </w:tcPr>
          <w:p w14:paraId="3B24FC16" w14:textId="77777777" w:rsidR="00F46D3D" w:rsidRPr="001163AC" w:rsidRDefault="00F46D3D">
            <w:pPr>
              <w:jc w:val="both"/>
            </w:pPr>
            <w:r w:rsidRPr="001163AC">
              <w:t>LEXCITY</w:t>
            </w:r>
          </w:p>
        </w:tc>
        <w:tc>
          <w:tcPr>
            <w:tcW w:w="3006" w:type="dxa"/>
            <w:hideMark/>
          </w:tcPr>
          <w:p w14:paraId="14E7B74E" w14:textId="77777777" w:rsidR="00F46D3D" w:rsidRPr="001163AC" w:rsidRDefault="00F46D3D">
            <w:pPr>
              <w:jc w:val="both"/>
            </w:pPr>
            <w:r w:rsidRPr="001163AC">
              <w:t>ORTEGA</w:t>
            </w:r>
          </w:p>
        </w:tc>
        <w:tc>
          <w:tcPr>
            <w:tcW w:w="3006" w:type="dxa"/>
            <w:hideMark/>
          </w:tcPr>
          <w:p w14:paraId="186FE09D" w14:textId="77777777" w:rsidR="00F46D3D" w:rsidRPr="001163AC" w:rsidRDefault="00F46D3D">
            <w:pPr>
              <w:jc w:val="both"/>
            </w:pPr>
            <w:r w:rsidRPr="001163AC">
              <w:t>Olivier</w:t>
            </w:r>
          </w:p>
        </w:tc>
      </w:tr>
      <w:tr w:rsidR="00F46D3D" w:rsidRPr="001163AC" w14:paraId="2F844166" w14:textId="77777777" w:rsidTr="00865AA7">
        <w:trPr>
          <w:trHeight w:val="243"/>
        </w:trPr>
        <w:tc>
          <w:tcPr>
            <w:tcW w:w="3598" w:type="dxa"/>
            <w:hideMark/>
          </w:tcPr>
          <w:p w14:paraId="40F3FB90" w14:textId="77777777" w:rsidR="00F46D3D" w:rsidRPr="001163AC" w:rsidRDefault="00F46D3D">
            <w:pPr>
              <w:jc w:val="both"/>
            </w:pPr>
            <w:r w:rsidRPr="001163AC">
              <w:t xml:space="preserve">DGEC </w:t>
            </w:r>
          </w:p>
        </w:tc>
        <w:tc>
          <w:tcPr>
            <w:tcW w:w="3006" w:type="dxa"/>
            <w:noWrap/>
            <w:hideMark/>
          </w:tcPr>
          <w:p w14:paraId="6B069A87" w14:textId="77777777" w:rsidR="00F46D3D" w:rsidRPr="001163AC" w:rsidRDefault="00F46D3D">
            <w:pPr>
              <w:jc w:val="both"/>
            </w:pPr>
            <w:r w:rsidRPr="001163AC">
              <w:t xml:space="preserve">PAPIN JAN </w:t>
            </w:r>
          </w:p>
        </w:tc>
        <w:tc>
          <w:tcPr>
            <w:tcW w:w="3006" w:type="dxa"/>
            <w:hideMark/>
          </w:tcPr>
          <w:p w14:paraId="7763175D" w14:textId="77777777" w:rsidR="00F46D3D" w:rsidRPr="001163AC" w:rsidRDefault="00F46D3D">
            <w:pPr>
              <w:jc w:val="both"/>
            </w:pPr>
            <w:r w:rsidRPr="001163AC">
              <w:t xml:space="preserve">Sophie </w:t>
            </w:r>
          </w:p>
        </w:tc>
      </w:tr>
      <w:tr w:rsidR="00F46D3D" w:rsidRPr="001163AC" w14:paraId="6E87B2F5" w14:textId="77777777" w:rsidTr="00865AA7">
        <w:trPr>
          <w:trHeight w:val="218"/>
        </w:trPr>
        <w:tc>
          <w:tcPr>
            <w:tcW w:w="3598" w:type="dxa"/>
            <w:hideMark/>
          </w:tcPr>
          <w:p w14:paraId="7FCDAE35" w14:textId="77777777" w:rsidR="00F46D3D" w:rsidRPr="001163AC" w:rsidRDefault="00F46D3D">
            <w:pPr>
              <w:jc w:val="both"/>
            </w:pPr>
            <w:r w:rsidRPr="001163AC">
              <w:t>IGNES</w:t>
            </w:r>
          </w:p>
        </w:tc>
        <w:tc>
          <w:tcPr>
            <w:tcW w:w="3006" w:type="dxa"/>
            <w:hideMark/>
          </w:tcPr>
          <w:p w14:paraId="10A12463" w14:textId="77777777" w:rsidR="00F46D3D" w:rsidRPr="001163AC" w:rsidRDefault="00F46D3D">
            <w:pPr>
              <w:jc w:val="both"/>
            </w:pPr>
            <w:r w:rsidRPr="001163AC">
              <w:t>PERRISSIN-FABERT</w:t>
            </w:r>
          </w:p>
        </w:tc>
        <w:tc>
          <w:tcPr>
            <w:tcW w:w="3006" w:type="dxa"/>
            <w:hideMark/>
          </w:tcPr>
          <w:p w14:paraId="10FDAAA2" w14:textId="77777777" w:rsidR="00F46D3D" w:rsidRPr="001163AC" w:rsidRDefault="00F46D3D">
            <w:pPr>
              <w:jc w:val="both"/>
            </w:pPr>
            <w:r w:rsidRPr="001163AC">
              <w:t>Anne-Sophie</w:t>
            </w:r>
          </w:p>
        </w:tc>
      </w:tr>
      <w:tr w:rsidR="00F46D3D" w:rsidRPr="001163AC" w14:paraId="40281C0B" w14:textId="77777777" w:rsidTr="00865AA7">
        <w:trPr>
          <w:trHeight w:val="218"/>
        </w:trPr>
        <w:tc>
          <w:tcPr>
            <w:tcW w:w="3598" w:type="dxa"/>
            <w:hideMark/>
          </w:tcPr>
          <w:p w14:paraId="66E9645A" w14:textId="77777777" w:rsidR="00F46D3D" w:rsidRPr="001163AC" w:rsidRDefault="00F46D3D">
            <w:pPr>
              <w:jc w:val="both"/>
            </w:pPr>
            <w:r w:rsidRPr="001163AC">
              <w:t xml:space="preserve">VINCI ENERGIES </w:t>
            </w:r>
          </w:p>
        </w:tc>
        <w:tc>
          <w:tcPr>
            <w:tcW w:w="3006" w:type="dxa"/>
            <w:hideMark/>
          </w:tcPr>
          <w:p w14:paraId="22BBBA92" w14:textId="77777777" w:rsidR="00F46D3D" w:rsidRPr="001163AC" w:rsidRDefault="00F46D3D">
            <w:pPr>
              <w:jc w:val="both"/>
            </w:pPr>
            <w:r w:rsidRPr="001163AC">
              <w:t>PIEJOS</w:t>
            </w:r>
          </w:p>
        </w:tc>
        <w:tc>
          <w:tcPr>
            <w:tcW w:w="3006" w:type="dxa"/>
            <w:hideMark/>
          </w:tcPr>
          <w:p w14:paraId="16F13FC5" w14:textId="77777777" w:rsidR="00F46D3D" w:rsidRPr="001163AC" w:rsidRDefault="00F46D3D">
            <w:pPr>
              <w:jc w:val="both"/>
            </w:pPr>
            <w:r w:rsidRPr="001163AC">
              <w:t xml:space="preserve">Yvan </w:t>
            </w:r>
          </w:p>
        </w:tc>
      </w:tr>
      <w:tr w:rsidR="00F46D3D" w:rsidRPr="001163AC" w14:paraId="333BA0AE" w14:textId="77777777" w:rsidTr="00865AA7">
        <w:trPr>
          <w:trHeight w:val="218"/>
        </w:trPr>
        <w:tc>
          <w:tcPr>
            <w:tcW w:w="3598" w:type="dxa"/>
            <w:hideMark/>
          </w:tcPr>
          <w:p w14:paraId="5DC8A3AB" w14:textId="77777777" w:rsidR="00F46D3D" w:rsidRPr="001163AC" w:rsidRDefault="00F46D3D">
            <w:pPr>
              <w:jc w:val="both"/>
            </w:pPr>
            <w:r w:rsidRPr="001163AC">
              <w:t>SDEEG33</w:t>
            </w:r>
          </w:p>
        </w:tc>
        <w:tc>
          <w:tcPr>
            <w:tcW w:w="3006" w:type="dxa"/>
            <w:hideMark/>
          </w:tcPr>
          <w:p w14:paraId="753BB082" w14:textId="77777777" w:rsidR="00F46D3D" w:rsidRPr="001163AC" w:rsidRDefault="00F46D3D">
            <w:pPr>
              <w:jc w:val="both"/>
            </w:pPr>
            <w:r w:rsidRPr="001163AC">
              <w:t>RAVAILLE</w:t>
            </w:r>
          </w:p>
        </w:tc>
        <w:tc>
          <w:tcPr>
            <w:tcW w:w="3006" w:type="dxa"/>
            <w:hideMark/>
          </w:tcPr>
          <w:p w14:paraId="0DEF5FD2" w14:textId="77777777" w:rsidR="00F46D3D" w:rsidRPr="001163AC" w:rsidRDefault="00F46D3D">
            <w:pPr>
              <w:jc w:val="both"/>
            </w:pPr>
            <w:r w:rsidRPr="001163AC">
              <w:t>William</w:t>
            </w:r>
          </w:p>
        </w:tc>
      </w:tr>
      <w:tr w:rsidR="00F46D3D" w:rsidRPr="001163AC" w14:paraId="33C0AF58" w14:textId="77777777" w:rsidTr="00865AA7">
        <w:trPr>
          <w:trHeight w:val="218"/>
        </w:trPr>
        <w:tc>
          <w:tcPr>
            <w:tcW w:w="3598" w:type="dxa"/>
            <w:hideMark/>
          </w:tcPr>
          <w:p w14:paraId="118FFF31" w14:textId="77777777" w:rsidR="00F46D3D" w:rsidRPr="001163AC" w:rsidRDefault="00F46D3D">
            <w:pPr>
              <w:jc w:val="both"/>
            </w:pPr>
            <w:r w:rsidRPr="001163AC">
              <w:t>FFIE</w:t>
            </w:r>
          </w:p>
        </w:tc>
        <w:tc>
          <w:tcPr>
            <w:tcW w:w="3006" w:type="dxa"/>
            <w:hideMark/>
          </w:tcPr>
          <w:p w14:paraId="5C3DB552" w14:textId="77777777" w:rsidR="00F46D3D" w:rsidRPr="001163AC" w:rsidRDefault="00F46D3D">
            <w:pPr>
              <w:jc w:val="both"/>
            </w:pPr>
            <w:r w:rsidRPr="001163AC">
              <w:t>RIFAUX</w:t>
            </w:r>
          </w:p>
        </w:tc>
        <w:tc>
          <w:tcPr>
            <w:tcW w:w="3006" w:type="dxa"/>
            <w:hideMark/>
          </w:tcPr>
          <w:p w14:paraId="4661DF4F" w14:textId="77777777" w:rsidR="00F46D3D" w:rsidRPr="001163AC" w:rsidRDefault="00F46D3D">
            <w:pPr>
              <w:jc w:val="both"/>
            </w:pPr>
            <w:r w:rsidRPr="001163AC">
              <w:t>Philippe</w:t>
            </w:r>
          </w:p>
        </w:tc>
      </w:tr>
      <w:tr w:rsidR="00F46D3D" w:rsidRPr="001163AC" w14:paraId="1BF462B4" w14:textId="77777777" w:rsidTr="00865AA7">
        <w:trPr>
          <w:trHeight w:val="218"/>
        </w:trPr>
        <w:tc>
          <w:tcPr>
            <w:tcW w:w="3598" w:type="dxa"/>
            <w:hideMark/>
          </w:tcPr>
          <w:p w14:paraId="02138E0D" w14:textId="77777777" w:rsidR="00F46D3D" w:rsidRPr="001163AC" w:rsidRDefault="00F46D3D">
            <w:pPr>
              <w:jc w:val="both"/>
            </w:pPr>
            <w:r w:rsidRPr="001163AC">
              <w:t xml:space="preserve">ENGIE SOLUTIONS </w:t>
            </w:r>
          </w:p>
        </w:tc>
        <w:tc>
          <w:tcPr>
            <w:tcW w:w="3006" w:type="dxa"/>
            <w:hideMark/>
          </w:tcPr>
          <w:p w14:paraId="433D3C59" w14:textId="77777777" w:rsidR="00F46D3D" w:rsidRPr="001163AC" w:rsidRDefault="00F46D3D">
            <w:pPr>
              <w:jc w:val="both"/>
            </w:pPr>
            <w:r w:rsidRPr="001163AC">
              <w:t>ROLAND</w:t>
            </w:r>
          </w:p>
        </w:tc>
        <w:tc>
          <w:tcPr>
            <w:tcW w:w="3006" w:type="dxa"/>
            <w:hideMark/>
          </w:tcPr>
          <w:p w14:paraId="1F4101F2" w14:textId="77777777" w:rsidR="00F46D3D" w:rsidRPr="001163AC" w:rsidRDefault="00F46D3D">
            <w:pPr>
              <w:jc w:val="both"/>
            </w:pPr>
            <w:r w:rsidRPr="001163AC">
              <w:t>Jean</w:t>
            </w:r>
          </w:p>
        </w:tc>
      </w:tr>
      <w:tr w:rsidR="00F46D3D" w:rsidRPr="001163AC" w14:paraId="51421FD1" w14:textId="77777777" w:rsidTr="00865AA7">
        <w:trPr>
          <w:trHeight w:val="218"/>
        </w:trPr>
        <w:tc>
          <w:tcPr>
            <w:tcW w:w="3598" w:type="dxa"/>
            <w:hideMark/>
          </w:tcPr>
          <w:p w14:paraId="097B594D" w14:textId="77777777" w:rsidR="00F46D3D" w:rsidRPr="001163AC" w:rsidRDefault="00F46D3D">
            <w:pPr>
              <w:jc w:val="both"/>
            </w:pPr>
            <w:r w:rsidRPr="001163AC">
              <w:t>SIEL-TE42</w:t>
            </w:r>
          </w:p>
        </w:tc>
        <w:tc>
          <w:tcPr>
            <w:tcW w:w="3006" w:type="dxa"/>
            <w:hideMark/>
          </w:tcPr>
          <w:p w14:paraId="5C1DA481" w14:textId="77777777" w:rsidR="00F46D3D" w:rsidRPr="001163AC" w:rsidRDefault="00F46D3D">
            <w:pPr>
              <w:jc w:val="both"/>
            </w:pPr>
            <w:r w:rsidRPr="001163AC">
              <w:t>ROLLAND</w:t>
            </w:r>
          </w:p>
        </w:tc>
        <w:tc>
          <w:tcPr>
            <w:tcW w:w="3006" w:type="dxa"/>
            <w:hideMark/>
          </w:tcPr>
          <w:p w14:paraId="783CD847" w14:textId="77777777" w:rsidR="00F46D3D" w:rsidRPr="001163AC" w:rsidRDefault="00F46D3D">
            <w:pPr>
              <w:jc w:val="both"/>
            </w:pPr>
            <w:r w:rsidRPr="001163AC">
              <w:t>Philippe</w:t>
            </w:r>
          </w:p>
        </w:tc>
      </w:tr>
      <w:tr w:rsidR="00F46D3D" w:rsidRPr="001163AC" w14:paraId="509A0AD9" w14:textId="77777777" w:rsidTr="00865AA7">
        <w:trPr>
          <w:trHeight w:val="218"/>
        </w:trPr>
        <w:tc>
          <w:tcPr>
            <w:tcW w:w="3598" w:type="dxa"/>
            <w:hideMark/>
          </w:tcPr>
          <w:p w14:paraId="70CB70DC" w14:textId="77777777" w:rsidR="00F46D3D" w:rsidRPr="001163AC" w:rsidRDefault="00F46D3D">
            <w:pPr>
              <w:jc w:val="both"/>
            </w:pPr>
            <w:r w:rsidRPr="001163AC">
              <w:t>ADEME</w:t>
            </w:r>
          </w:p>
        </w:tc>
        <w:tc>
          <w:tcPr>
            <w:tcW w:w="3006" w:type="dxa"/>
            <w:hideMark/>
          </w:tcPr>
          <w:p w14:paraId="47B5A341" w14:textId="77777777" w:rsidR="00F46D3D" w:rsidRPr="001163AC" w:rsidRDefault="00F46D3D">
            <w:pPr>
              <w:jc w:val="both"/>
            </w:pPr>
            <w:r w:rsidRPr="001163AC">
              <w:t>ROSENSTEIN</w:t>
            </w:r>
          </w:p>
        </w:tc>
        <w:tc>
          <w:tcPr>
            <w:tcW w:w="3006" w:type="dxa"/>
            <w:hideMark/>
          </w:tcPr>
          <w:p w14:paraId="1E44CDDB" w14:textId="57D129F8" w:rsidR="00F46D3D" w:rsidRPr="001163AC" w:rsidRDefault="000D4B7D">
            <w:pPr>
              <w:jc w:val="both"/>
            </w:pPr>
            <w:r w:rsidRPr="001163AC">
              <w:t>Fréderic</w:t>
            </w:r>
          </w:p>
        </w:tc>
      </w:tr>
      <w:tr w:rsidR="00F46D3D" w:rsidRPr="001163AC" w14:paraId="6E522F24" w14:textId="77777777" w:rsidTr="00865AA7">
        <w:trPr>
          <w:trHeight w:val="218"/>
        </w:trPr>
        <w:tc>
          <w:tcPr>
            <w:tcW w:w="3598" w:type="dxa"/>
            <w:noWrap/>
            <w:hideMark/>
          </w:tcPr>
          <w:p w14:paraId="409EFAD4" w14:textId="77777777" w:rsidR="00F46D3D" w:rsidRPr="006F535B" w:rsidRDefault="00F46D3D">
            <w:pPr>
              <w:jc w:val="both"/>
              <w:rPr>
                <w:lang w:val="de-DE"/>
              </w:rPr>
            </w:pPr>
            <w:r w:rsidRPr="006F535B">
              <w:rPr>
                <w:lang w:val="de-DE"/>
              </w:rPr>
              <w:t>EIFFAGE ENERGIE SYSTEMES - G&amp;D</w:t>
            </w:r>
          </w:p>
        </w:tc>
        <w:tc>
          <w:tcPr>
            <w:tcW w:w="3006" w:type="dxa"/>
            <w:noWrap/>
            <w:hideMark/>
          </w:tcPr>
          <w:p w14:paraId="2E09623F" w14:textId="77777777" w:rsidR="00F46D3D" w:rsidRPr="001163AC" w:rsidRDefault="00F46D3D">
            <w:pPr>
              <w:jc w:val="both"/>
            </w:pPr>
            <w:r w:rsidRPr="001163AC">
              <w:t>SADKI</w:t>
            </w:r>
          </w:p>
        </w:tc>
        <w:tc>
          <w:tcPr>
            <w:tcW w:w="3006" w:type="dxa"/>
            <w:noWrap/>
            <w:hideMark/>
          </w:tcPr>
          <w:p w14:paraId="390ACC73" w14:textId="77777777" w:rsidR="00F46D3D" w:rsidRPr="001163AC" w:rsidRDefault="00F46D3D">
            <w:pPr>
              <w:jc w:val="both"/>
            </w:pPr>
            <w:r w:rsidRPr="001163AC">
              <w:t>EMIRA</w:t>
            </w:r>
          </w:p>
        </w:tc>
      </w:tr>
      <w:tr w:rsidR="00F46D3D" w:rsidRPr="001163AC" w14:paraId="29B00968" w14:textId="77777777" w:rsidTr="00865AA7">
        <w:trPr>
          <w:trHeight w:val="218"/>
        </w:trPr>
        <w:tc>
          <w:tcPr>
            <w:tcW w:w="3598" w:type="dxa"/>
            <w:hideMark/>
          </w:tcPr>
          <w:p w14:paraId="61E77056" w14:textId="77777777" w:rsidR="00F46D3D" w:rsidRPr="001163AC" w:rsidRDefault="00F46D3D">
            <w:pPr>
              <w:jc w:val="both"/>
            </w:pPr>
            <w:r w:rsidRPr="001163AC">
              <w:t>VILLE DE LYON</w:t>
            </w:r>
          </w:p>
        </w:tc>
        <w:tc>
          <w:tcPr>
            <w:tcW w:w="3006" w:type="dxa"/>
            <w:hideMark/>
          </w:tcPr>
          <w:p w14:paraId="06CD819E" w14:textId="77777777" w:rsidR="00F46D3D" w:rsidRPr="001163AC" w:rsidRDefault="00F46D3D">
            <w:pPr>
              <w:jc w:val="both"/>
            </w:pPr>
            <w:r w:rsidRPr="001163AC">
              <w:t>SEBBAN</w:t>
            </w:r>
          </w:p>
        </w:tc>
        <w:tc>
          <w:tcPr>
            <w:tcW w:w="3006" w:type="dxa"/>
            <w:hideMark/>
          </w:tcPr>
          <w:p w14:paraId="14F22CDE" w14:textId="77777777" w:rsidR="00F46D3D" w:rsidRPr="001163AC" w:rsidRDefault="00F46D3D">
            <w:pPr>
              <w:jc w:val="both"/>
            </w:pPr>
            <w:r w:rsidRPr="001163AC">
              <w:t>Chloé</w:t>
            </w:r>
          </w:p>
        </w:tc>
      </w:tr>
      <w:tr w:rsidR="00F46D3D" w:rsidRPr="001163AC" w14:paraId="62A2699E" w14:textId="77777777" w:rsidTr="00865AA7">
        <w:trPr>
          <w:trHeight w:val="218"/>
        </w:trPr>
        <w:tc>
          <w:tcPr>
            <w:tcW w:w="3598" w:type="dxa"/>
            <w:noWrap/>
            <w:hideMark/>
          </w:tcPr>
          <w:p w14:paraId="61659C91" w14:textId="77777777" w:rsidR="00F46D3D" w:rsidRPr="001163AC" w:rsidRDefault="00F46D3D">
            <w:pPr>
              <w:jc w:val="both"/>
            </w:pPr>
            <w:r w:rsidRPr="001163AC">
              <w:t>FFB</w:t>
            </w:r>
          </w:p>
        </w:tc>
        <w:tc>
          <w:tcPr>
            <w:tcW w:w="3006" w:type="dxa"/>
            <w:noWrap/>
            <w:hideMark/>
          </w:tcPr>
          <w:p w14:paraId="123452F3" w14:textId="77777777" w:rsidR="00F46D3D" w:rsidRPr="001163AC" w:rsidRDefault="00F46D3D">
            <w:pPr>
              <w:jc w:val="both"/>
            </w:pPr>
            <w:r w:rsidRPr="001163AC">
              <w:t>STEPHAN</w:t>
            </w:r>
          </w:p>
        </w:tc>
        <w:tc>
          <w:tcPr>
            <w:tcW w:w="3006" w:type="dxa"/>
            <w:noWrap/>
            <w:hideMark/>
          </w:tcPr>
          <w:p w14:paraId="7C5EF9CF" w14:textId="77777777" w:rsidR="00F46D3D" w:rsidRPr="001163AC" w:rsidRDefault="00F46D3D">
            <w:pPr>
              <w:jc w:val="both"/>
            </w:pPr>
            <w:r w:rsidRPr="001163AC">
              <w:t>FREDERIQUE</w:t>
            </w:r>
          </w:p>
        </w:tc>
      </w:tr>
      <w:tr w:rsidR="00F46D3D" w:rsidRPr="001163AC" w14:paraId="65298B55" w14:textId="77777777" w:rsidTr="00865AA7">
        <w:trPr>
          <w:trHeight w:val="218"/>
        </w:trPr>
        <w:tc>
          <w:tcPr>
            <w:tcW w:w="3598" w:type="dxa"/>
            <w:hideMark/>
          </w:tcPr>
          <w:p w14:paraId="0BBAB023" w14:textId="77777777" w:rsidR="00F46D3D" w:rsidRPr="001163AC" w:rsidRDefault="00F46D3D">
            <w:pPr>
              <w:jc w:val="both"/>
            </w:pPr>
            <w:r w:rsidRPr="001163AC">
              <w:t xml:space="preserve">DGEC </w:t>
            </w:r>
          </w:p>
        </w:tc>
        <w:tc>
          <w:tcPr>
            <w:tcW w:w="3006" w:type="dxa"/>
            <w:noWrap/>
            <w:hideMark/>
          </w:tcPr>
          <w:p w14:paraId="1403EB1C" w14:textId="77777777" w:rsidR="00F46D3D" w:rsidRPr="001163AC" w:rsidRDefault="00F46D3D">
            <w:pPr>
              <w:jc w:val="both"/>
            </w:pPr>
            <w:r w:rsidRPr="001163AC">
              <w:t xml:space="preserve">TUDESQ </w:t>
            </w:r>
          </w:p>
        </w:tc>
        <w:tc>
          <w:tcPr>
            <w:tcW w:w="3006" w:type="dxa"/>
            <w:hideMark/>
          </w:tcPr>
          <w:p w14:paraId="755F5414" w14:textId="77777777" w:rsidR="00F46D3D" w:rsidRPr="001163AC" w:rsidRDefault="00F46D3D">
            <w:pPr>
              <w:jc w:val="both"/>
            </w:pPr>
            <w:r w:rsidRPr="001163AC">
              <w:t>Martin</w:t>
            </w:r>
          </w:p>
        </w:tc>
      </w:tr>
      <w:tr w:rsidR="00F46D3D" w:rsidRPr="001163AC" w14:paraId="0E16416A" w14:textId="77777777" w:rsidTr="00865AA7">
        <w:trPr>
          <w:trHeight w:val="218"/>
        </w:trPr>
        <w:tc>
          <w:tcPr>
            <w:tcW w:w="3598" w:type="dxa"/>
            <w:hideMark/>
          </w:tcPr>
          <w:p w14:paraId="05D336B1" w14:textId="77777777" w:rsidR="00F46D3D" w:rsidRPr="001163AC" w:rsidRDefault="00F46D3D">
            <w:pPr>
              <w:jc w:val="both"/>
            </w:pPr>
            <w:r w:rsidRPr="001163AC">
              <w:t>SERCE</w:t>
            </w:r>
          </w:p>
        </w:tc>
        <w:tc>
          <w:tcPr>
            <w:tcW w:w="3006" w:type="dxa"/>
            <w:hideMark/>
          </w:tcPr>
          <w:p w14:paraId="12E5CC9E" w14:textId="77777777" w:rsidR="00F46D3D" w:rsidRPr="001163AC" w:rsidRDefault="00F46D3D">
            <w:pPr>
              <w:jc w:val="both"/>
            </w:pPr>
            <w:r w:rsidRPr="001163AC">
              <w:t>VALACHS</w:t>
            </w:r>
          </w:p>
        </w:tc>
        <w:tc>
          <w:tcPr>
            <w:tcW w:w="3006" w:type="dxa"/>
            <w:hideMark/>
          </w:tcPr>
          <w:p w14:paraId="14E7723D" w14:textId="77777777" w:rsidR="00F46D3D" w:rsidRPr="001163AC" w:rsidRDefault="00F46D3D">
            <w:pPr>
              <w:jc w:val="both"/>
            </w:pPr>
            <w:r w:rsidRPr="001163AC">
              <w:t>Anne</w:t>
            </w:r>
          </w:p>
        </w:tc>
      </w:tr>
      <w:tr w:rsidR="00F46D3D" w:rsidRPr="001163AC" w14:paraId="4EE5F3AA" w14:textId="77777777" w:rsidTr="00865AA7">
        <w:trPr>
          <w:trHeight w:val="218"/>
        </w:trPr>
        <w:tc>
          <w:tcPr>
            <w:tcW w:w="3598" w:type="dxa"/>
            <w:noWrap/>
            <w:hideMark/>
          </w:tcPr>
          <w:p w14:paraId="06D83C47" w14:textId="77777777" w:rsidR="00F46D3D" w:rsidRPr="001163AC" w:rsidRDefault="00F46D3D">
            <w:pPr>
              <w:jc w:val="both"/>
            </w:pPr>
            <w:r w:rsidRPr="001163AC">
              <w:t>FIN INFRA</w:t>
            </w:r>
          </w:p>
        </w:tc>
        <w:tc>
          <w:tcPr>
            <w:tcW w:w="3006" w:type="dxa"/>
            <w:noWrap/>
            <w:hideMark/>
          </w:tcPr>
          <w:p w14:paraId="308D2F2F" w14:textId="77777777" w:rsidR="00F46D3D" w:rsidRPr="001163AC" w:rsidRDefault="00F46D3D">
            <w:pPr>
              <w:jc w:val="both"/>
            </w:pPr>
            <w:r w:rsidRPr="001163AC">
              <w:t>VITAL</w:t>
            </w:r>
          </w:p>
        </w:tc>
        <w:tc>
          <w:tcPr>
            <w:tcW w:w="3006" w:type="dxa"/>
            <w:noWrap/>
            <w:hideMark/>
          </w:tcPr>
          <w:p w14:paraId="3357EB2D" w14:textId="77777777" w:rsidR="00F46D3D" w:rsidRPr="001163AC" w:rsidRDefault="00F46D3D">
            <w:pPr>
              <w:jc w:val="both"/>
            </w:pPr>
            <w:r w:rsidRPr="001163AC">
              <w:t>Nicolas</w:t>
            </w:r>
          </w:p>
        </w:tc>
      </w:tr>
      <w:tr w:rsidR="00F46D3D" w:rsidRPr="001163AC" w14:paraId="56FFE28B" w14:textId="77777777" w:rsidTr="00865AA7">
        <w:trPr>
          <w:trHeight w:val="218"/>
        </w:trPr>
        <w:tc>
          <w:tcPr>
            <w:tcW w:w="3598" w:type="dxa"/>
            <w:hideMark/>
          </w:tcPr>
          <w:p w14:paraId="66C1A430" w14:textId="77777777" w:rsidR="00F46D3D" w:rsidRPr="001163AC" w:rsidRDefault="00F46D3D">
            <w:pPr>
              <w:jc w:val="both"/>
            </w:pPr>
            <w:r w:rsidRPr="001163AC">
              <w:t>GIMELEC</w:t>
            </w:r>
          </w:p>
        </w:tc>
        <w:tc>
          <w:tcPr>
            <w:tcW w:w="3006" w:type="dxa"/>
            <w:hideMark/>
          </w:tcPr>
          <w:p w14:paraId="2DC4A0B4" w14:textId="77777777" w:rsidR="00F46D3D" w:rsidRPr="001163AC" w:rsidRDefault="00F46D3D">
            <w:pPr>
              <w:jc w:val="both"/>
            </w:pPr>
            <w:r w:rsidRPr="001163AC">
              <w:t>VORMUS</w:t>
            </w:r>
          </w:p>
        </w:tc>
        <w:tc>
          <w:tcPr>
            <w:tcW w:w="3006" w:type="dxa"/>
            <w:hideMark/>
          </w:tcPr>
          <w:p w14:paraId="6B55D601" w14:textId="77777777" w:rsidR="00F46D3D" w:rsidRPr="001163AC" w:rsidRDefault="00F46D3D">
            <w:pPr>
              <w:jc w:val="both"/>
            </w:pPr>
            <w:r w:rsidRPr="001163AC">
              <w:t>Joël</w:t>
            </w:r>
          </w:p>
        </w:tc>
      </w:tr>
      <w:tr w:rsidR="00F46D3D" w:rsidRPr="001163AC" w14:paraId="5BDD891D" w14:textId="77777777" w:rsidTr="00865AA7">
        <w:trPr>
          <w:trHeight w:val="218"/>
        </w:trPr>
        <w:tc>
          <w:tcPr>
            <w:tcW w:w="3598" w:type="dxa"/>
            <w:hideMark/>
          </w:tcPr>
          <w:p w14:paraId="31A2C3D7" w14:textId="77777777" w:rsidR="00F46D3D" w:rsidRPr="001163AC" w:rsidRDefault="00F46D3D">
            <w:pPr>
              <w:jc w:val="both"/>
            </w:pPr>
            <w:r w:rsidRPr="001163AC">
              <w:t>CIPREB MTE</w:t>
            </w:r>
          </w:p>
        </w:tc>
        <w:tc>
          <w:tcPr>
            <w:tcW w:w="3006" w:type="dxa"/>
            <w:noWrap/>
            <w:hideMark/>
          </w:tcPr>
          <w:p w14:paraId="4C3FE4AC" w14:textId="77777777" w:rsidR="00F46D3D" w:rsidRPr="001163AC" w:rsidRDefault="00F46D3D">
            <w:pPr>
              <w:jc w:val="both"/>
            </w:pPr>
            <w:r w:rsidRPr="001163AC">
              <w:t xml:space="preserve">YVERNAULT </w:t>
            </w:r>
          </w:p>
        </w:tc>
        <w:tc>
          <w:tcPr>
            <w:tcW w:w="3006" w:type="dxa"/>
            <w:hideMark/>
          </w:tcPr>
          <w:p w14:paraId="4A3484F5" w14:textId="77777777" w:rsidR="00F46D3D" w:rsidRPr="001163AC" w:rsidRDefault="00F46D3D">
            <w:pPr>
              <w:jc w:val="both"/>
            </w:pPr>
            <w:r w:rsidRPr="001163AC">
              <w:t>Virginie</w:t>
            </w:r>
          </w:p>
        </w:tc>
      </w:tr>
    </w:tbl>
    <w:p w14:paraId="610940C6" w14:textId="77777777" w:rsidR="00A371D5" w:rsidRPr="00B101CA" w:rsidRDefault="00A371D5" w:rsidP="00A9634D">
      <w:pPr>
        <w:spacing w:line="240" w:lineRule="auto"/>
        <w:jc w:val="both"/>
      </w:pPr>
    </w:p>
    <w:sectPr w:rsidR="00A371D5" w:rsidRPr="00B101CA" w:rsidSect="008C4E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1479" w14:textId="77777777" w:rsidR="000354F4" w:rsidRDefault="000354F4" w:rsidP="007C3018">
      <w:pPr>
        <w:spacing w:after="0" w:line="240" w:lineRule="auto"/>
      </w:pPr>
      <w:r>
        <w:separator/>
      </w:r>
    </w:p>
  </w:endnote>
  <w:endnote w:type="continuationSeparator" w:id="0">
    <w:p w14:paraId="65C58631" w14:textId="77777777" w:rsidR="000354F4" w:rsidRDefault="000354F4" w:rsidP="007C3018">
      <w:pPr>
        <w:spacing w:after="0" w:line="240" w:lineRule="auto"/>
      </w:pPr>
      <w:r>
        <w:continuationSeparator/>
      </w:r>
    </w:p>
  </w:endnote>
  <w:endnote w:type="continuationNotice" w:id="1">
    <w:p w14:paraId="2968E9DC" w14:textId="77777777" w:rsidR="000354F4" w:rsidRDefault="00035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notTrueType/>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Optima LT">
    <w:altName w:val="Cambri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20393731"/>
      <w:docPartObj>
        <w:docPartGallery w:val="Page Numbers (Bottom of Page)"/>
        <w:docPartUnique/>
      </w:docPartObj>
    </w:sdtPr>
    <w:sdtContent>
      <w:p w14:paraId="2C2B4B0D" w14:textId="3789CEA1" w:rsidR="00D77DEE" w:rsidRDefault="00D77DEE" w:rsidP="00F76A8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A6E7FD7" w14:textId="77777777" w:rsidR="00D77DEE" w:rsidRDefault="00D77DEE" w:rsidP="00064B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30875480"/>
      <w:docPartObj>
        <w:docPartGallery w:val="Page Numbers (Bottom of Page)"/>
        <w:docPartUnique/>
      </w:docPartObj>
    </w:sdtPr>
    <w:sdtContent>
      <w:p w14:paraId="08E55772" w14:textId="1385C09F" w:rsidR="00D77DEE" w:rsidRDefault="00D77DEE" w:rsidP="00062C1B">
        <w:pPr>
          <w:pStyle w:val="Pieddepage"/>
          <w:framePr w:wrap="none" w:vAnchor="text" w:hAnchor="margin" w:xAlign="right" w:y="1"/>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42</w:t>
        </w:r>
        <w:r>
          <w:rPr>
            <w:rStyle w:val="Numrodepage"/>
          </w:rPr>
          <w:fldChar w:fldCharType="end"/>
        </w:r>
      </w:p>
    </w:sdtContent>
  </w:sdt>
  <w:p w14:paraId="45B34185" w14:textId="31ACECD1" w:rsidR="00D77DEE" w:rsidRDefault="00D77DEE" w:rsidP="00AA6146">
    <w:pPr>
      <w:pStyle w:val="Pieddepage"/>
      <w:pBdr>
        <w:top w:val="single" w:sz="4" w:space="1" w:color="auto"/>
      </w:pBdr>
      <w:jc w:val="both"/>
    </w:pPr>
    <w:r>
      <w:t>Guide d’utilisation</w:t>
    </w:r>
    <w:r w:rsidR="000C6A7B">
      <w:t xml:space="preserve"> du Clausier CPE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A05" w14:textId="77777777" w:rsidR="00636BF0" w:rsidRDefault="00636B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4F99" w14:textId="77777777" w:rsidR="000354F4" w:rsidRDefault="000354F4" w:rsidP="007C3018">
      <w:pPr>
        <w:spacing w:after="0" w:line="240" w:lineRule="auto"/>
      </w:pPr>
      <w:r>
        <w:separator/>
      </w:r>
    </w:p>
  </w:footnote>
  <w:footnote w:type="continuationSeparator" w:id="0">
    <w:p w14:paraId="3D377106" w14:textId="77777777" w:rsidR="000354F4" w:rsidRDefault="000354F4" w:rsidP="007C3018">
      <w:pPr>
        <w:spacing w:after="0" w:line="240" w:lineRule="auto"/>
      </w:pPr>
      <w:r>
        <w:continuationSeparator/>
      </w:r>
    </w:p>
  </w:footnote>
  <w:footnote w:type="continuationNotice" w:id="1">
    <w:p w14:paraId="469B14D6" w14:textId="77777777" w:rsidR="000354F4" w:rsidRDefault="000354F4">
      <w:pPr>
        <w:spacing w:after="0" w:line="240" w:lineRule="auto"/>
      </w:pPr>
    </w:p>
  </w:footnote>
  <w:footnote w:id="2">
    <w:p w14:paraId="4E7864B1" w14:textId="28A8E62F" w:rsidR="00D77DEE" w:rsidRDefault="00D77DEE">
      <w:pPr>
        <w:pStyle w:val="Notedebasdepage"/>
      </w:pPr>
      <w:r>
        <w:rPr>
          <w:rStyle w:val="Appelnotedebasdep"/>
        </w:rPr>
        <w:footnoteRef/>
      </w:r>
      <w:r>
        <w:t xml:space="preserve"> Cf. Composition du GT en annexe.</w:t>
      </w:r>
    </w:p>
  </w:footnote>
  <w:footnote w:id="3">
    <w:p w14:paraId="5DB393C6" w14:textId="4547029E" w:rsidR="00D77DEE" w:rsidRDefault="00D77DEE">
      <w:pPr>
        <w:pStyle w:val="Notedebasdepage"/>
      </w:pPr>
      <w:r>
        <w:rPr>
          <w:rStyle w:val="Appelnotedebasdep"/>
        </w:rPr>
        <w:footnoteRef/>
      </w:r>
      <w:r>
        <w:t xml:space="preserve"> Les termes débutant par une majuscule sont ceux faisant l’objet d’une </w:t>
      </w:r>
      <w:r w:rsidRPr="0055070E">
        <w:t>d</w:t>
      </w:r>
      <w:r w:rsidRPr="00AC6704">
        <w:t xml:space="preserve">éfinition par </w:t>
      </w:r>
      <w:r w:rsidRPr="000F5798">
        <w:t xml:space="preserve">l’article </w:t>
      </w:r>
      <w:r w:rsidRPr="0055070E">
        <w:t xml:space="preserve">2 </w:t>
      </w:r>
      <w:r w:rsidRPr="00AC6704">
        <w:t>du CCAG</w:t>
      </w:r>
      <w:r w:rsidR="00E66EE3">
        <w:t xml:space="preserve"> CPE</w:t>
      </w:r>
      <w:r w:rsidRPr="00AC6704">
        <w:t>.</w:t>
      </w:r>
    </w:p>
  </w:footnote>
  <w:footnote w:id="4">
    <w:p w14:paraId="06FD1673" w14:textId="0DB6D178" w:rsidR="00D77DEE" w:rsidRDefault="00D77DEE">
      <w:pPr>
        <w:pStyle w:val="Notedebasdepage"/>
      </w:pPr>
      <w:r>
        <w:rPr>
          <w:rStyle w:val="Appelnotedebasdep"/>
        </w:rPr>
        <w:footnoteRef/>
      </w:r>
      <w:r>
        <w:t xml:space="preserve"> Sur les différentes familles de CPE, cf. </w:t>
      </w:r>
      <w:r>
        <w:fldChar w:fldCharType="begin"/>
      </w:r>
      <w:r>
        <w:instrText xml:space="preserve"> REF _Ref66973644 \h </w:instrText>
      </w:r>
      <w:r>
        <w:fldChar w:fldCharType="separate"/>
      </w:r>
      <w:r>
        <w:t>1.</w:t>
      </w:r>
      <w:r w:rsidRPr="008B571E">
        <w:t xml:space="preserve"> </w:t>
      </w:r>
      <w:r>
        <w:t>F</w:t>
      </w:r>
      <w:r w:rsidRPr="006A5A11">
        <w:t>amilles de CPE</w:t>
      </w:r>
      <w:r>
        <w:fldChar w:fldCharType="end"/>
      </w:r>
      <w:r>
        <w:t xml:space="preserve"> ci-dessous.</w:t>
      </w:r>
    </w:p>
  </w:footnote>
  <w:footnote w:id="5">
    <w:p w14:paraId="4F982219" w14:textId="77777777" w:rsidR="00D77DEE" w:rsidRDefault="00D77DEE" w:rsidP="00820C61">
      <w:pPr>
        <w:pStyle w:val="Notedebasdepage"/>
      </w:pPr>
      <w:r>
        <w:rPr>
          <w:rStyle w:val="Appelnotedebasdep"/>
        </w:rPr>
        <w:footnoteRef/>
      </w:r>
      <w:r>
        <w:t xml:space="preserve"> Liste indicative, non limitative</w:t>
      </w:r>
    </w:p>
  </w:footnote>
  <w:footnote w:id="6">
    <w:p w14:paraId="160F8E3F" w14:textId="77777777" w:rsidR="001D55FC" w:rsidRDefault="001D55FC" w:rsidP="001D55FC">
      <w:pPr>
        <w:pStyle w:val="Notedebasdepage"/>
      </w:pPr>
      <w:r>
        <w:rPr>
          <w:rStyle w:val="Appelnotedebasdep"/>
        </w:rPr>
        <w:footnoteRef/>
      </w:r>
      <w:r>
        <w:t xml:space="preserve"> </w:t>
      </w:r>
      <w:r w:rsidRPr="004D7BB1">
        <w:t>https://www.economie.gouv.fr/files/files/directions_services/daj/marches_publics/conseil_acheteurs/fiches-techniques/champs-application/CEE_et_commande_publique.pdf?v=1644944367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8650" w14:textId="77777777" w:rsidR="00636BF0" w:rsidRDefault="00636B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F183" w14:textId="77777777" w:rsidR="00636BF0" w:rsidRDefault="00636BF0" w:rsidP="00636BF0">
    <w:pPr>
      <w:pBdr>
        <w:bottom w:val="single" w:sz="4" w:space="1" w:color="auto"/>
      </w:pBdr>
      <w:spacing w:after="0" w:line="240" w:lineRule="auto"/>
      <w:jc w:val="center"/>
      <w:rPr>
        <w:noProof/>
      </w:rPr>
    </w:pPr>
    <w:r>
      <w:rPr>
        <w:rFonts w:ascii="Times New Roman" w:hAnsi="Times New Roman"/>
        <w:noProof/>
        <w:sz w:val="24"/>
      </w:rPr>
      <w:drawing>
        <wp:inline distT="0" distB="0" distL="0" distR="0" wp14:anchorId="3BAB03C9" wp14:editId="2ABCFDA7">
          <wp:extent cx="996642" cy="513193"/>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030825" cy="530795"/>
                  </a:xfrm>
                  <a:prstGeom prst="rect">
                    <a:avLst/>
                  </a:prstGeom>
                </pic:spPr>
              </pic:pic>
            </a:graphicData>
          </a:graphic>
        </wp:inline>
      </w:drawing>
    </w:r>
    <w:r>
      <w:rPr>
        <w:rFonts w:ascii="Times New Roman" w:hAnsi="Times New Roman"/>
        <w:sz w:val="24"/>
      </w:rPr>
      <w:tab/>
    </w:r>
    <w:r>
      <w:rPr>
        <w:rFonts w:ascii="Times New Roman" w:hAnsi="Times New Roman"/>
        <w:sz w:val="24"/>
      </w:rPr>
      <w:tab/>
    </w:r>
    <w:r>
      <w:rPr>
        <w:rFonts w:ascii="Times New Roman" w:hAnsi="Times New Roman"/>
        <w:sz w:val="24"/>
      </w:rPr>
      <w:tab/>
    </w:r>
    <w:r>
      <w:rPr>
        <w:noProof/>
      </w:rPr>
      <w:drawing>
        <wp:inline distT="0" distB="0" distL="0" distR="0" wp14:anchorId="2F5BBC05" wp14:editId="6D48E92D">
          <wp:extent cx="515628" cy="515628"/>
          <wp:effectExtent l="0" t="0" r="5080" b="508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540399" cy="540399"/>
                  </a:xfrm>
                  <a:prstGeom prst="rect">
                    <a:avLst/>
                  </a:prstGeom>
                </pic:spPr>
              </pic:pic>
            </a:graphicData>
          </a:graphic>
        </wp:inline>
      </w:drawing>
    </w:r>
    <w:r>
      <w:rPr>
        <w:rFonts w:ascii="Times New Roman" w:hAnsi="Times New Roman"/>
        <w:sz w:val="24"/>
      </w:rPr>
      <w:tab/>
    </w:r>
    <w:r>
      <w:rPr>
        <w:rFonts w:ascii="Times New Roman" w:hAnsi="Times New Roman"/>
        <w:sz w:val="24"/>
      </w:rPr>
      <w:tab/>
    </w:r>
    <w:r>
      <w:rPr>
        <w:rFonts w:ascii="Times New Roman" w:hAnsi="Times New Roman"/>
        <w:sz w:val="24"/>
      </w:rPr>
      <w:tab/>
    </w:r>
    <w:r>
      <w:rPr>
        <w:noProof/>
      </w:rPr>
      <w:drawing>
        <wp:inline distT="0" distB="0" distL="0" distR="0" wp14:anchorId="212649A1" wp14:editId="54E356B7">
          <wp:extent cx="913223" cy="448629"/>
          <wp:effectExtent l="0" t="0" r="127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a:extLst>
                      <a:ext uri="{28A0092B-C50C-407E-A947-70E740481C1C}">
                        <a14:useLocalDpi xmlns:a14="http://schemas.microsoft.com/office/drawing/2010/main" val="0"/>
                      </a:ext>
                    </a:extLst>
                  </a:blip>
                  <a:stretch>
                    <a:fillRect/>
                  </a:stretch>
                </pic:blipFill>
                <pic:spPr>
                  <a:xfrm>
                    <a:off x="0" y="0"/>
                    <a:ext cx="935225" cy="459438"/>
                  </a:xfrm>
                  <a:prstGeom prst="rect">
                    <a:avLst/>
                  </a:prstGeom>
                </pic:spPr>
              </pic:pic>
            </a:graphicData>
          </a:graphic>
        </wp:inline>
      </w:drawing>
    </w:r>
  </w:p>
  <w:p w14:paraId="0DB2A642" w14:textId="7478A125" w:rsidR="00D77DEE" w:rsidRPr="00D65673" w:rsidRDefault="00D77DEE" w:rsidP="00D656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68F7" w14:textId="77777777" w:rsidR="00636BF0" w:rsidRDefault="00636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44B"/>
    <w:multiLevelType w:val="hybridMultilevel"/>
    <w:tmpl w:val="B8C61910"/>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874AB4"/>
    <w:multiLevelType w:val="hybridMultilevel"/>
    <w:tmpl w:val="2236B33E"/>
    <w:lvl w:ilvl="0" w:tplc="168405D2">
      <w:start w:val="1"/>
      <w:numFmt w:val="bullet"/>
      <w:lvlText w:val="-"/>
      <w:lvlJc w:val="left"/>
      <w:pPr>
        <w:ind w:left="360" w:hanging="360"/>
      </w:pPr>
      <w:rPr>
        <w:rFonts w:ascii="Courier New" w:hAnsi="Courier New"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F33A14"/>
    <w:multiLevelType w:val="hybridMultilevel"/>
    <w:tmpl w:val="BCA216F6"/>
    <w:lvl w:ilvl="0" w:tplc="C510926C">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DBA4802"/>
    <w:multiLevelType w:val="hybridMultilevel"/>
    <w:tmpl w:val="7EF60242"/>
    <w:lvl w:ilvl="0" w:tplc="E88AB4A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123DCA"/>
    <w:multiLevelType w:val="hybridMultilevel"/>
    <w:tmpl w:val="F2C87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7085E"/>
    <w:multiLevelType w:val="hybridMultilevel"/>
    <w:tmpl w:val="29D640F0"/>
    <w:lvl w:ilvl="0" w:tplc="6FDCD18A">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A94543"/>
    <w:multiLevelType w:val="hybridMultilevel"/>
    <w:tmpl w:val="A9BC24C8"/>
    <w:lvl w:ilvl="0" w:tplc="040C000B">
      <w:start w:val="1"/>
      <w:numFmt w:val="bullet"/>
      <w:lvlText w:val=""/>
      <w:lvlJc w:val="left"/>
      <w:pPr>
        <w:ind w:left="360" w:hanging="360"/>
      </w:pPr>
      <w:rPr>
        <w:rFonts w:ascii="Wingdings" w:hAnsi="Wingdings" w:hint="default"/>
        <w:b w:val="0"/>
        <w:i w:val="0"/>
        <w:color w:val="000000" w:themeColor="text1"/>
        <w:sz w:val="22"/>
      </w:rPr>
    </w:lvl>
    <w:lvl w:ilvl="1" w:tplc="696A8DDE">
      <w:numFmt w:val="bullet"/>
      <w:lvlText w:val="–"/>
      <w:lvlJc w:val="left"/>
      <w:pPr>
        <w:ind w:left="1080" w:hanging="360"/>
      </w:pPr>
      <w:rPr>
        <w:rFonts w:ascii="Calibri" w:eastAsia="Times New Roman"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402279"/>
    <w:multiLevelType w:val="hybridMultilevel"/>
    <w:tmpl w:val="44222724"/>
    <w:lvl w:ilvl="0" w:tplc="52A644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BB3DDF"/>
    <w:multiLevelType w:val="hybridMultilevel"/>
    <w:tmpl w:val="AD4A7FEC"/>
    <w:lvl w:ilvl="0" w:tplc="C51092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4C07D0"/>
    <w:multiLevelType w:val="hybridMultilevel"/>
    <w:tmpl w:val="D188EBD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B026410"/>
    <w:multiLevelType w:val="hybridMultilevel"/>
    <w:tmpl w:val="2244FF22"/>
    <w:lvl w:ilvl="0" w:tplc="C510926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004AC1"/>
    <w:multiLevelType w:val="hybridMultilevel"/>
    <w:tmpl w:val="0CAC8C4E"/>
    <w:lvl w:ilvl="0" w:tplc="5DAE68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333D62"/>
    <w:multiLevelType w:val="hybridMultilevel"/>
    <w:tmpl w:val="53F2C336"/>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2F003CE"/>
    <w:multiLevelType w:val="hybridMultilevel"/>
    <w:tmpl w:val="11F652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F562F"/>
    <w:multiLevelType w:val="hybridMultilevel"/>
    <w:tmpl w:val="2D1CF974"/>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E3855A6"/>
    <w:multiLevelType w:val="hybridMultilevel"/>
    <w:tmpl w:val="F4785A0A"/>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EC57A50"/>
    <w:multiLevelType w:val="hybridMultilevel"/>
    <w:tmpl w:val="3DBEF282"/>
    <w:lvl w:ilvl="0" w:tplc="64EE966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8756B2"/>
    <w:multiLevelType w:val="hybridMultilevel"/>
    <w:tmpl w:val="85B61EF2"/>
    <w:lvl w:ilvl="0" w:tplc="170ED78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2FB099C"/>
    <w:multiLevelType w:val="hybridMultilevel"/>
    <w:tmpl w:val="C60C4000"/>
    <w:lvl w:ilvl="0" w:tplc="168405D2">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81613B"/>
    <w:multiLevelType w:val="hybridMultilevel"/>
    <w:tmpl w:val="1D42BBE4"/>
    <w:lvl w:ilvl="0" w:tplc="C5F4B38A">
      <w:start w:val="1"/>
      <w:numFmt w:val="lowerLetter"/>
      <w:pStyle w:val="Styl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724C5F"/>
    <w:multiLevelType w:val="hybridMultilevel"/>
    <w:tmpl w:val="0AC0EDC4"/>
    <w:lvl w:ilvl="0" w:tplc="64EE9662">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0B6C2A"/>
    <w:multiLevelType w:val="hybridMultilevel"/>
    <w:tmpl w:val="A9FE2468"/>
    <w:lvl w:ilvl="0" w:tplc="52A644C6">
      <w:start w:val="1"/>
      <w:numFmt w:val="bullet"/>
      <w:lvlText w:val=""/>
      <w:lvlJc w:val="left"/>
      <w:pPr>
        <w:ind w:left="357" w:hanging="360"/>
      </w:pPr>
      <w:rPr>
        <w:rFonts w:ascii="Symbol" w:hAnsi="Symbol" w:hint="default"/>
      </w:rPr>
    </w:lvl>
    <w:lvl w:ilvl="1" w:tplc="040C0003" w:tentative="1">
      <w:start w:val="1"/>
      <w:numFmt w:val="bullet"/>
      <w:lvlText w:val="o"/>
      <w:lvlJc w:val="left"/>
      <w:pPr>
        <w:ind w:left="692" w:hanging="360"/>
      </w:pPr>
      <w:rPr>
        <w:rFonts w:ascii="Courier New" w:hAnsi="Courier New" w:cs="Courier New" w:hint="default"/>
      </w:rPr>
    </w:lvl>
    <w:lvl w:ilvl="2" w:tplc="040C0005" w:tentative="1">
      <w:start w:val="1"/>
      <w:numFmt w:val="bullet"/>
      <w:lvlText w:val=""/>
      <w:lvlJc w:val="left"/>
      <w:pPr>
        <w:ind w:left="1412" w:hanging="360"/>
      </w:pPr>
      <w:rPr>
        <w:rFonts w:ascii="Wingdings" w:hAnsi="Wingdings" w:hint="default"/>
      </w:rPr>
    </w:lvl>
    <w:lvl w:ilvl="3" w:tplc="040C0001" w:tentative="1">
      <w:start w:val="1"/>
      <w:numFmt w:val="bullet"/>
      <w:lvlText w:val=""/>
      <w:lvlJc w:val="left"/>
      <w:pPr>
        <w:ind w:left="2132" w:hanging="360"/>
      </w:pPr>
      <w:rPr>
        <w:rFonts w:ascii="Symbol" w:hAnsi="Symbol" w:hint="default"/>
      </w:rPr>
    </w:lvl>
    <w:lvl w:ilvl="4" w:tplc="040C0003" w:tentative="1">
      <w:start w:val="1"/>
      <w:numFmt w:val="bullet"/>
      <w:lvlText w:val="o"/>
      <w:lvlJc w:val="left"/>
      <w:pPr>
        <w:ind w:left="2852" w:hanging="360"/>
      </w:pPr>
      <w:rPr>
        <w:rFonts w:ascii="Courier New" w:hAnsi="Courier New" w:cs="Courier New" w:hint="default"/>
      </w:rPr>
    </w:lvl>
    <w:lvl w:ilvl="5" w:tplc="040C0005" w:tentative="1">
      <w:start w:val="1"/>
      <w:numFmt w:val="bullet"/>
      <w:lvlText w:val=""/>
      <w:lvlJc w:val="left"/>
      <w:pPr>
        <w:ind w:left="3572" w:hanging="360"/>
      </w:pPr>
      <w:rPr>
        <w:rFonts w:ascii="Wingdings" w:hAnsi="Wingdings" w:hint="default"/>
      </w:rPr>
    </w:lvl>
    <w:lvl w:ilvl="6" w:tplc="040C0001" w:tentative="1">
      <w:start w:val="1"/>
      <w:numFmt w:val="bullet"/>
      <w:lvlText w:val=""/>
      <w:lvlJc w:val="left"/>
      <w:pPr>
        <w:ind w:left="4292" w:hanging="360"/>
      </w:pPr>
      <w:rPr>
        <w:rFonts w:ascii="Symbol" w:hAnsi="Symbol" w:hint="default"/>
      </w:rPr>
    </w:lvl>
    <w:lvl w:ilvl="7" w:tplc="040C0003" w:tentative="1">
      <w:start w:val="1"/>
      <w:numFmt w:val="bullet"/>
      <w:lvlText w:val="o"/>
      <w:lvlJc w:val="left"/>
      <w:pPr>
        <w:ind w:left="5012" w:hanging="360"/>
      </w:pPr>
      <w:rPr>
        <w:rFonts w:ascii="Courier New" w:hAnsi="Courier New" w:cs="Courier New" w:hint="default"/>
      </w:rPr>
    </w:lvl>
    <w:lvl w:ilvl="8" w:tplc="040C0005" w:tentative="1">
      <w:start w:val="1"/>
      <w:numFmt w:val="bullet"/>
      <w:lvlText w:val=""/>
      <w:lvlJc w:val="left"/>
      <w:pPr>
        <w:ind w:left="5732" w:hanging="360"/>
      </w:pPr>
      <w:rPr>
        <w:rFonts w:ascii="Wingdings" w:hAnsi="Wingdings" w:hint="default"/>
      </w:rPr>
    </w:lvl>
  </w:abstractNum>
  <w:abstractNum w:abstractNumId="22" w15:restartNumberingAfterBreak="0">
    <w:nsid w:val="465910E2"/>
    <w:multiLevelType w:val="hybridMultilevel"/>
    <w:tmpl w:val="D4A8C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1D07C1"/>
    <w:multiLevelType w:val="hybridMultilevel"/>
    <w:tmpl w:val="D188EBD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4A62620C"/>
    <w:multiLevelType w:val="hybridMultilevel"/>
    <w:tmpl w:val="2A6E263E"/>
    <w:lvl w:ilvl="0" w:tplc="CF5813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744DD3"/>
    <w:multiLevelType w:val="hybridMultilevel"/>
    <w:tmpl w:val="AB685C34"/>
    <w:lvl w:ilvl="0" w:tplc="52A644C6">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26" w15:restartNumberingAfterBreak="0">
    <w:nsid w:val="4CF50FBF"/>
    <w:multiLevelType w:val="hybridMultilevel"/>
    <w:tmpl w:val="7BBEA9F0"/>
    <w:lvl w:ilvl="0" w:tplc="95DC8DF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087E41"/>
    <w:multiLevelType w:val="hybridMultilevel"/>
    <w:tmpl w:val="993294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C45628"/>
    <w:multiLevelType w:val="hybridMultilevel"/>
    <w:tmpl w:val="EFD2CF72"/>
    <w:lvl w:ilvl="0" w:tplc="4632670E">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508C48AA"/>
    <w:multiLevelType w:val="hybridMultilevel"/>
    <w:tmpl w:val="E0B88D24"/>
    <w:lvl w:ilvl="0" w:tplc="64EE9662">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522053E7"/>
    <w:multiLevelType w:val="hybridMultilevel"/>
    <w:tmpl w:val="072A14C8"/>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472610C"/>
    <w:multiLevelType w:val="hybridMultilevel"/>
    <w:tmpl w:val="6572599C"/>
    <w:lvl w:ilvl="0" w:tplc="491E8AC4">
      <w:start w:val="1"/>
      <w:numFmt w:val="decimal"/>
      <w:pStyle w:val="Styl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1E4F75"/>
    <w:multiLevelType w:val="hybridMultilevel"/>
    <w:tmpl w:val="FFB0AE1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1263D04"/>
    <w:multiLevelType w:val="hybridMultilevel"/>
    <w:tmpl w:val="1D34D06E"/>
    <w:lvl w:ilvl="0" w:tplc="C510926C">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48C1DAC"/>
    <w:multiLevelType w:val="hybridMultilevel"/>
    <w:tmpl w:val="04B6F9F8"/>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93742B1"/>
    <w:multiLevelType w:val="hybridMultilevel"/>
    <w:tmpl w:val="A39E8188"/>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AA62A9"/>
    <w:multiLevelType w:val="hybridMultilevel"/>
    <w:tmpl w:val="6C8A5F6C"/>
    <w:lvl w:ilvl="0" w:tplc="040C000B">
      <w:start w:val="1"/>
      <w:numFmt w:val="bullet"/>
      <w:lvlText w:val=""/>
      <w:lvlJc w:val="left"/>
      <w:pPr>
        <w:ind w:left="720" w:hanging="360"/>
      </w:pPr>
      <w:rPr>
        <w:rFonts w:ascii="Wingdings" w:hAnsi="Wingdings" w:hint="default"/>
        <w:b w:val="0"/>
        <w:i w:val="0"/>
        <w:color w:val="000000" w:themeColor="text1"/>
        <w:sz w:val="22"/>
      </w:rPr>
    </w:lvl>
    <w:lvl w:ilvl="1" w:tplc="64EE9662">
      <w:start w:val="1"/>
      <w:numFmt w:val="bullet"/>
      <w:lvlText w:val=""/>
      <w:lvlJc w:val="left"/>
      <w:pPr>
        <w:ind w:left="720" w:hanging="360"/>
      </w:pPr>
      <w:rPr>
        <w:rFonts w:ascii="Symbol" w:hAnsi="Symbol" w:hint="default"/>
        <w:color w:val="000000" w:themeColor="text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004012"/>
    <w:multiLevelType w:val="hybridMultilevel"/>
    <w:tmpl w:val="4C361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5055E7"/>
    <w:multiLevelType w:val="hybridMultilevel"/>
    <w:tmpl w:val="807A6C40"/>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CC46DC0"/>
    <w:multiLevelType w:val="hybridMultilevel"/>
    <w:tmpl w:val="B4525E8A"/>
    <w:lvl w:ilvl="0" w:tplc="040C0017">
      <w:start w:val="1"/>
      <w:numFmt w:val="lowerLetter"/>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D4C3FCB"/>
    <w:multiLevelType w:val="hybridMultilevel"/>
    <w:tmpl w:val="3D1CAD2A"/>
    <w:lvl w:ilvl="0" w:tplc="52A644C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E160503"/>
    <w:multiLevelType w:val="hybridMultilevel"/>
    <w:tmpl w:val="F424BD32"/>
    <w:lvl w:ilvl="0" w:tplc="040C0005">
      <w:start w:val="1"/>
      <w:numFmt w:val="bullet"/>
      <w:lvlText w:val=""/>
      <w:lvlJc w:val="left"/>
      <w:pPr>
        <w:ind w:left="720"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0170196"/>
    <w:multiLevelType w:val="hybridMultilevel"/>
    <w:tmpl w:val="EFBA3D2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3D76AA"/>
    <w:multiLevelType w:val="hybridMultilevel"/>
    <w:tmpl w:val="3A3C602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76B0556"/>
    <w:multiLevelType w:val="hybridMultilevel"/>
    <w:tmpl w:val="CCE646F4"/>
    <w:lvl w:ilvl="0" w:tplc="5DAE684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A3D5A8F"/>
    <w:multiLevelType w:val="hybridMultilevel"/>
    <w:tmpl w:val="16AE6616"/>
    <w:lvl w:ilvl="0" w:tplc="52A644C6">
      <w:start w:val="1"/>
      <w:numFmt w:val="bullet"/>
      <w:lvlText w:val=""/>
      <w:lvlJc w:val="left"/>
      <w:pPr>
        <w:ind w:left="360" w:hanging="360"/>
      </w:pPr>
      <w:rPr>
        <w:rFonts w:ascii="Symbol" w:hAnsi="Symbol" w:hint="default"/>
      </w:rPr>
    </w:lvl>
    <w:lvl w:ilvl="1" w:tplc="A32AEA68">
      <w:start w:val="1"/>
      <w:numFmt w:val="bullet"/>
      <w:lvlText w:val="o"/>
      <w:lvlJc w:val="left"/>
      <w:pPr>
        <w:ind w:left="695" w:hanging="360"/>
      </w:pPr>
      <w:rPr>
        <w:rFonts w:ascii="Courier New" w:hAnsi="Courier New" w:cs="Arial" w:hint="default"/>
      </w:rPr>
    </w:lvl>
    <w:lvl w:ilvl="2" w:tplc="5F826332">
      <w:start w:val="1"/>
      <w:numFmt w:val="bullet"/>
      <w:lvlText w:val=""/>
      <w:lvlJc w:val="left"/>
      <w:pPr>
        <w:ind w:left="1415" w:hanging="360"/>
      </w:pPr>
      <w:rPr>
        <w:rFonts w:ascii="Wingdings" w:hAnsi="Wingdings" w:hint="default"/>
      </w:rPr>
    </w:lvl>
    <w:lvl w:ilvl="3" w:tplc="DBB2FA1E" w:tentative="1">
      <w:start w:val="1"/>
      <w:numFmt w:val="bullet"/>
      <w:lvlText w:val=""/>
      <w:lvlJc w:val="left"/>
      <w:pPr>
        <w:ind w:left="2135" w:hanging="360"/>
      </w:pPr>
      <w:rPr>
        <w:rFonts w:ascii="Symbol" w:hAnsi="Symbol" w:hint="default"/>
      </w:rPr>
    </w:lvl>
    <w:lvl w:ilvl="4" w:tplc="E5044994" w:tentative="1">
      <w:start w:val="1"/>
      <w:numFmt w:val="bullet"/>
      <w:lvlText w:val="o"/>
      <w:lvlJc w:val="left"/>
      <w:pPr>
        <w:ind w:left="2855" w:hanging="360"/>
      </w:pPr>
      <w:rPr>
        <w:rFonts w:ascii="Courier New" w:hAnsi="Courier New" w:cs="Arial" w:hint="default"/>
      </w:rPr>
    </w:lvl>
    <w:lvl w:ilvl="5" w:tplc="3CB20316" w:tentative="1">
      <w:start w:val="1"/>
      <w:numFmt w:val="bullet"/>
      <w:lvlText w:val=""/>
      <w:lvlJc w:val="left"/>
      <w:pPr>
        <w:ind w:left="3575" w:hanging="360"/>
      </w:pPr>
      <w:rPr>
        <w:rFonts w:ascii="Wingdings" w:hAnsi="Wingdings" w:hint="default"/>
      </w:rPr>
    </w:lvl>
    <w:lvl w:ilvl="6" w:tplc="C23ACC30" w:tentative="1">
      <w:start w:val="1"/>
      <w:numFmt w:val="bullet"/>
      <w:lvlText w:val=""/>
      <w:lvlJc w:val="left"/>
      <w:pPr>
        <w:ind w:left="4295" w:hanging="360"/>
      </w:pPr>
      <w:rPr>
        <w:rFonts w:ascii="Symbol" w:hAnsi="Symbol" w:hint="default"/>
      </w:rPr>
    </w:lvl>
    <w:lvl w:ilvl="7" w:tplc="EA56A460" w:tentative="1">
      <w:start w:val="1"/>
      <w:numFmt w:val="bullet"/>
      <w:lvlText w:val="o"/>
      <w:lvlJc w:val="left"/>
      <w:pPr>
        <w:ind w:left="5015" w:hanging="360"/>
      </w:pPr>
      <w:rPr>
        <w:rFonts w:ascii="Courier New" w:hAnsi="Courier New" w:cs="Arial" w:hint="default"/>
      </w:rPr>
    </w:lvl>
    <w:lvl w:ilvl="8" w:tplc="7A5EF790" w:tentative="1">
      <w:start w:val="1"/>
      <w:numFmt w:val="bullet"/>
      <w:lvlText w:val=""/>
      <w:lvlJc w:val="left"/>
      <w:pPr>
        <w:ind w:left="5735" w:hanging="360"/>
      </w:pPr>
      <w:rPr>
        <w:rFonts w:ascii="Wingdings" w:hAnsi="Wingdings" w:hint="default"/>
      </w:rPr>
    </w:lvl>
  </w:abstractNum>
  <w:abstractNum w:abstractNumId="46" w15:restartNumberingAfterBreak="0">
    <w:nsid w:val="7FB877BB"/>
    <w:multiLevelType w:val="hybridMultilevel"/>
    <w:tmpl w:val="4594A1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53260098">
    <w:abstractNumId w:val="31"/>
  </w:num>
  <w:num w:numId="2" w16cid:durableId="470556830">
    <w:abstractNumId w:val="19"/>
  </w:num>
  <w:num w:numId="3" w16cid:durableId="535040749">
    <w:abstractNumId w:val="17"/>
  </w:num>
  <w:num w:numId="4" w16cid:durableId="1052002493">
    <w:abstractNumId w:val="29"/>
  </w:num>
  <w:num w:numId="5" w16cid:durableId="1162503847">
    <w:abstractNumId w:val="41"/>
  </w:num>
  <w:num w:numId="6" w16cid:durableId="1749618254">
    <w:abstractNumId w:val="4"/>
  </w:num>
  <w:num w:numId="7" w16cid:durableId="1356732519">
    <w:abstractNumId w:val="36"/>
  </w:num>
  <w:num w:numId="8" w16cid:durableId="1052997340">
    <w:abstractNumId w:val="20"/>
  </w:num>
  <w:num w:numId="9" w16cid:durableId="1867058417">
    <w:abstractNumId w:val="2"/>
  </w:num>
  <w:num w:numId="10" w16cid:durableId="587496747">
    <w:abstractNumId w:val="10"/>
  </w:num>
  <w:num w:numId="11" w16cid:durableId="522717706">
    <w:abstractNumId w:val="33"/>
  </w:num>
  <w:num w:numId="12" w16cid:durableId="87507501">
    <w:abstractNumId w:val="3"/>
  </w:num>
  <w:num w:numId="13" w16cid:durableId="811555486">
    <w:abstractNumId w:val="28"/>
  </w:num>
  <w:num w:numId="14" w16cid:durableId="1551114953">
    <w:abstractNumId w:val="8"/>
  </w:num>
  <w:num w:numId="15" w16cid:durableId="1535998886">
    <w:abstractNumId w:val="1"/>
  </w:num>
  <w:num w:numId="16" w16cid:durableId="633801822">
    <w:abstractNumId w:val="6"/>
  </w:num>
  <w:num w:numId="17" w16cid:durableId="1784885027">
    <w:abstractNumId w:val="13"/>
  </w:num>
  <w:num w:numId="18" w16cid:durableId="1612662190">
    <w:abstractNumId w:val="40"/>
  </w:num>
  <w:num w:numId="19" w16cid:durableId="1618174340">
    <w:abstractNumId w:val="25"/>
  </w:num>
  <w:num w:numId="20" w16cid:durableId="13729169">
    <w:abstractNumId w:val="18"/>
  </w:num>
  <w:num w:numId="21" w16cid:durableId="597835283">
    <w:abstractNumId w:val="14"/>
  </w:num>
  <w:num w:numId="22" w16cid:durableId="148904629">
    <w:abstractNumId w:val="45"/>
  </w:num>
  <w:num w:numId="23" w16cid:durableId="671447760">
    <w:abstractNumId w:val="39"/>
  </w:num>
  <w:num w:numId="24" w16cid:durableId="1290940996">
    <w:abstractNumId w:val="21"/>
  </w:num>
  <w:num w:numId="25" w16cid:durableId="975260224">
    <w:abstractNumId w:val="11"/>
  </w:num>
  <w:num w:numId="26" w16cid:durableId="428044794">
    <w:abstractNumId w:val="46"/>
  </w:num>
  <w:num w:numId="27" w16cid:durableId="918715870">
    <w:abstractNumId w:val="5"/>
  </w:num>
  <w:num w:numId="28" w16cid:durableId="1568953294">
    <w:abstractNumId w:val="30"/>
  </w:num>
  <w:num w:numId="29" w16cid:durableId="557712893">
    <w:abstractNumId w:val="26"/>
  </w:num>
  <w:num w:numId="30" w16cid:durableId="2084177569">
    <w:abstractNumId w:val="35"/>
  </w:num>
  <w:num w:numId="31" w16cid:durableId="732506198">
    <w:abstractNumId w:val="7"/>
  </w:num>
  <w:num w:numId="32" w16cid:durableId="323096183">
    <w:abstractNumId w:val="27"/>
  </w:num>
  <w:num w:numId="33" w16cid:durableId="1709722969">
    <w:abstractNumId w:val="22"/>
  </w:num>
  <w:num w:numId="34" w16cid:durableId="2050570181">
    <w:abstractNumId w:val="0"/>
  </w:num>
  <w:num w:numId="35" w16cid:durableId="1142428934">
    <w:abstractNumId w:val="38"/>
  </w:num>
  <w:num w:numId="36" w16cid:durableId="608779861">
    <w:abstractNumId w:val="9"/>
  </w:num>
  <w:num w:numId="37" w16cid:durableId="1608393936">
    <w:abstractNumId w:val="23"/>
  </w:num>
  <w:num w:numId="38" w16cid:durableId="1457288694">
    <w:abstractNumId w:val="12"/>
  </w:num>
  <w:num w:numId="39" w16cid:durableId="651912494">
    <w:abstractNumId w:val="34"/>
  </w:num>
  <w:num w:numId="40" w16cid:durableId="421537128">
    <w:abstractNumId w:val="15"/>
  </w:num>
  <w:num w:numId="41" w16cid:durableId="266356128">
    <w:abstractNumId w:val="44"/>
  </w:num>
  <w:num w:numId="42" w16cid:durableId="1971861690">
    <w:abstractNumId w:val="32"/>
  </w:num>
  <w:num w:numId="43" w16cid:durableId="997420424">
    <w:abstractNumId w:val="42"/>
  </w:num>
  <w:num w:numId="44" w16cid:durableId="436675116">
    <w:abstractNumId w:val="37"/>
  </w:num>
  <w:num w:numId="45" w16cid:durableId="526794196">
    <w:abstractNumId w:val="43"/>
  </w:num>
  <w:num w:numId="46" w16cid:durableId="309985380">
    <w:abstractNumId w:val="16"/>
  </w:num>
  <w:num w:numId="47" w16cid:durableId="1602839418">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4E"/>
    <w:rsid w:val="00001E73"/>
    <w:rsid w:val="00002BF9"/>
    <w:rsid w:val="000043A0"/>
    <w:rsid w:val="00007A44"/>
    <w:rsid w:val="00011123"/>
    <w:rsid w:val="000111B7"/>
    <w:rsid w:val="00012476"/>
    <w:rsid w:val="00014A90"/>
    <w:rsid w:val="00017BD8"/>
    <w:rsid w:val="000217AF"/>
    <w:rsid w:val="00021CF5"/>
    <w:rsid w:val="00022EA2"/>
    <w:rsid w:val="00024ED3"/>
    <w:rsid w:val="00026810"/>
    <w:rsid w:val="00027634"/>
    <w:rsid w:val="000279C4"/>
    <w:rsid w:val="00027D02"/>
    <w:rsid w:val="00030018"/>
    <w:rsid w:val="00030A41"/>
    <w:rsid w:val="00030B43"/>
    <w:rsid w:val="00032B31"/>
    <w:rsid w:val="0003383B"/>
    <w:rsid w:val="000354F4"/>
    <w:rsid w:val="00036316"/>
    <w:rsid w:val="0004433E"/>
    <w:rsid w:val="00046A25"/>
    <w:rsid w:val="000503B1"/>
    <w:rsid w:val="0005154E"/>
    <w:rsid w:val="00051DFE"/>
    <w:rsid w:val="00053046"/>
    <w:rsid w:val="00056FAD"/>
    <w:rsid w:val="00060CB3"/>
    <w:rsid w:val="00062675"/>
    <w:rsid w:val="00062C1B"/>
    <w:rsid w:val="00063472"/>
    <w:rsid w:val="00064B1F"/>
    <w:rsid w:val="00065844"/>
    <w:rsid w:val="00074CA3"/>
    <w:rsid w:val="00074F55"/>
    <w:rsid w:val="00077AA3"/>
    <w:rsid w:val="00087077"/>
    <w:rsid w:val="00093E9F"/>
    <w:rsid w:val="00097C80"/>
    <w:rsid w:val="000A018C"/>
    <w:rsid w:val="000A1097"/>
    <w:rsid w:val="000A40B4"/>
    <w:rsid w:val="000A6275"/>
    <w:rsid w:val="000B0B58"/>
    <w:rsid w:val="000B2713"/>
    <w:rsid w:val="000B3B37"/>
    <w:rsid w:val="000B4104"/>
    <w:rsid w:val="000C404C"/>
    <w:rsid w:val="000C4C09"/>
    <w:rsid w:val="000C4FB5"/>
    <w:rsid w:val="000C6A7B"/>
    <w:rsid w:val="000D0845"/>
    <w:rsid w:val="000D359E"/>
    <w:rsid w:val="000D3691"/>
    <w:rsid w:val="000D4B7D"/>
    <w:rsid w:val="000D58FD"/>
    <w:rsid w:val="000D79F5"/>
    <w:rsid w:val="000D7D41"/>
    <w:rsid w:val="000E2CC6"/>
    <w:rsid w:val="000E3BA7"/>
    <w:rsid w:val="000E3F00"/>
    <w:rsid w:val="000E55CD"/>
    <w:rsid w:val="000F3000"/>
    <w:rsid w:val="000F534E"/>
    <w:rsid w:val="000F5798"/>
    <w:rsid w:val="00102CD9"/>
    <w:rsid w:val="001032E1"/>
    <w:rsid w:val="00103E69"/>
    <w:rsid w:val="00107ADA"/>
    <w:rsid w:val="00111A5C"/>
    <w:rsid w:val="00112459"/>
    <w:rsid w:val="0011284A"/>
    <w:rsid w:val="001132DA"/>
    <w:rsid w:val="001163AC"/>
    <w:rsid w:val="0012522B"/>
    <w:rsid w:val="00125BB3"/>
    <w:rsid w:val="00130755"/>
    <w:rsid w:val="0013230D"/>
    <w:rsid w:val="0013301B"/>
    <w:rsid w:val="0013409C"/>
    <w:rsid w:val="0013678E"/>
    <w:rsid w:val="00136B41"/>
    <w:rsid w:val="001370D4"/>
    <w:rsid w:val="00141067"/>
    <w:rsid w:val="00141571"/>
    <w:rsid w:val="00141E81"/>
    <w:rsid w:val="00143BF9"/>
    <w:rsid w:val="00144D1D"/>
    <w:rsid w:val="00145462"/>
    <w:rsid w:val="00153C4D"/>
    <w:rsid w:val="001555EE"/>
    <w:rsid w:val="00157359"/>
    <w:rsid w:val="001602B3"/>
    <w:rsid w:val="00162A4A"/>
    <w:rsid w:val="00163F7F"/>
    <w:rsid w:val="001642F9"/>
    <w:rsid w:val="001671F7"/>
    <w:rsid w:val="00170CC9"/>
    <w:rsid w:val="00171E80"/>
    <w:rsid w:val="001728DB"/>
    <w:rsid w:val="001774B2"/>
    <w:rsid w:val="00180B00"/>
    <w:rsid w:val="0018417D"/>
    <w:rsid w:val="00184F62"/>
    <w:rsid w:val="001869F6"/>
    <w:rsid w:val="00186ECF"/>
    <w:rsid w:val="001873B9"/>
    <w:rsid w:val="0019004A"/>
    <w:rsid w:val="0019191F"/>
    <w:rsid w:val="00194226"/>
    <w:rsid w:val="001955DD"/>
    <w:rsid w:val="001A212C"/>
    <w:rsid w:val="001A55DD"/>
    <w:rsid w:val="001A64E6"/>
    <w:rsid w:val="001A679B"/>
    <w:rsid w:val="001A7BA8"/>
    <w:rsid w:val="001B490D"/>
    <w:rsid w:val="001B5E78"/>
    <w:rsid w:val="001B6486"/>
    <w:rsid w:val="001B7B63"/>
    <w:rsid w:val="001C0FB1"/>
    <w:rsid w:val="001C12CC"/>
    <w:rsid w:val="001C5352"/>
    <w:rsid w:val="001C5A59"/>
    <w:rsid w:val="001C611C"/>
    <w:rsid w:val="001D1088"/>
    <w:rsid w:val="001D1503"/>
    <w:rsid w:val="001D3954"/>
    <w:rsid w:val="001D3D52"/>
    <w:rsid w:val="001D55FC"/>
    <w:rsid w:val="001E116A"/>
    <w:rsid w:val="001E424C"/>
    <w:rsid w:val="001E7FE2"/>
    <w:rsid w:val="001F7B63"/>
    <w:rsid w:val="002033AA"/>
    <w:rsid w:val="00205F4E"/>
    <w:rsid w:val="00206A6F"/>
    <w:rsid w:val="00206B6B"/>
    <w:rsid w:val="0021173A"/>
    <w:rsid w:val="00213F66"/>
    <w:rsid w:val="00216286"/>
    <w:rsid w:val="00216639"/>
    <w:rsid w:val="002170ED"/>
    <w:rsid w:val="002173AA"/>
    <w:rsid w:val="00223644"/>
    <w:rsid w:val="0022441A"/>
    <w:rsid w:val="0022513D"/>
    <w:rsid w:val="00227058"/>
    <w:rsid w:val="00232031"/>
    <w:rsid w:val="0023300E"/>
    <w:rsid w:val="00236E37"/>
    <w:rsid w:val="00240EDB"/>
    <w:rsid w:val="0024512D"/>
    <w:rsid w:val="0024559A"/>
    <w:rsid w:val="0025032D"/>
    <w:rsid w:val="00254B9B"/>
    <w:rsid w:val="0025566D"/>
    <w:rsid w:val="00257327"/>
    <w:rsid w:val="002616D5"/>
    <w:rsid w:val="00263EF6"/>
    <w:rsid w:val="00264CEF"/>
    <w:rsid w:val="00266803"/>
    <w:rsid w:val="00266995"/>
    <w:rsid w:val="00270635"/>
    <w:rsid w:val="00271147"/>
    <w:rsid w:val="0027138D"/>
    <w:rsid w:val="00271CAD"/>
    <w:rsid w:val="00271D87"/>
    <w:rsid w:val="002746D2"/>
    <w:rsid w:val="002754F3"/>
    <w:rsid w:val="002823AC"/>
    <w:rsid w:val="002871D1"/>
    <w:rsid w:val="0028732D"/>
    <w:rsid w:val="0028748B"/>
    <w:rsid w:val="00287D86"/>
    <w:rsid w:val="00290D53"/>
    <w:rsid w:val="00292081"/>
    <w:rsid w:val="00295241"/>
    <w:rsid w:val="00295FDB"/>
    <w:rsid w:val="002A04CA"/>
    <w:rsid w:val="002A056A"/>
    <w:rsid w:val="002A156D"/>
    <w:rsid w:val="002A2F36"/>
    <w:rsid w:val="002A43E9"/>
    <w:rsid w:val="002A4C4E"/>
    <w:rsid w:val="002A6E48"/>
    <w:rsid w:val="002B1547"/>
    <w:rsid w:val="002B1978"/>
    <w:rsid w:val="002B5812"/>
    <w:rsid w:val="002B62CF"/>
    <w:rsid w:val="002B65A5"/>
    <w:rsid w:val="002C06ED"/>
    <w:rsid w:val="002C0A4F"/>
    <w:rsid w:val="002C0D1B"/>
    <w:rsid w:val="002C3249"/>
    <w:rsid w:val="002C5F51"/>
    <w:rsid w:val="002C6FBB"/>
    <w:rsid w:val="002C7887"/>
    <w:rsid w:val="002C7A63"/>
    <w:rsid w:val="002D452C"/>
    <w:rsid w:val="002D4C9D"/>
    <w:rsid w:val="002D5AF8"/>
    <w:rsid w:val="002E2712"/>
    <w:rsid w:val="002E37D5"/>
    <w:rsid w:val="002E46FF"/>
    <w:rsid w:val="002E52F3"/>
    <w:rsid w:val="002F17C2"/>
    <w:rsid w:val="002F53D2"/>
    <w:rsid w:val="002F75DF"/>
    <w:rsid w:val="002F79E4"/>
    <w:rsid w:val="00302167"/>
    <w:rsid w:val="00302E40"/>
    <w:rsid w:val="00304630"/>
    <w:rsid w:val="0030637C"/>
    <w:rsid w:val="0030748C"/>
    <w:rsid w:val="00307609"/>
    <w:rsid w:val="00310CE8"/>
    <w:rsid w:val="00312A1A"/>
    <w:rsid w:val="0032641D"/>
    <w:rsid w:val="00326BC8"/>
    <w:rsid w:val="00327386"/>
    <w:rsid w:val="00330086"/>
    <w:rsid w:val="00332CA0"/>
    <w:rsid w:val="00334362"/>
    <w:rsid w:val="00334393"/>
    <w:rsid w:val="00334BC7"/>
    <w:rsid w:val="00353877"/>
    <w:rsid w:val="003544E5"/>
    <w:rsid w:val="00354835"/>
    <w:rsid w:val="003575DF"/>
    <w:rsid w:val="0036142A"/>
    <w:rsid w:val="0036352A"/>
    <w:rsid w:val="0036397E"/>
    <w:rsid w:val="00370A6A"/>
    <w:rsid w:val="00371DDF"/>
    <w:rsid w:val="00373C01"/>
    <w:rsid w:val="00384346"/>
    <w:rsid w:val="0038539F"/>
    <w:rsid w:val="00386234"/>
    <w:rsid w:val="00393C7E"/>
    <w:rsid w:val="00396FAA"/>
    <w:rsid w:val="00397C7B"/>
    <w:rsid w:val="003A0466"/>
    <w:rsid w:val="003A082F"/>
    <w:rsid w:val="003A1DE7"/>
    <w:rsid w:val="003A483D"/>
    <w:rsid w:val="003A48D9"/>
    <w:rsid w:val="003A5745"/>
    <w:rsid w:val="003A617A"/>
    <w:rsid w:val="003A71A9"/>
    <w:rsid w:val="003B1981"/>
    <w:rsid w:val="003B1ED7"/>
    <w:rsid w:val="003B26EF"/>
    <w:rsid w:val="003B41F5"/>
    <w:rsid w:val="003B65D5"/>
    <w:rsid w:val="003B668A"/>
    <w:rsid w:val="003B6ECF"/>
    <w:rsid w:val="003B71F0"/>
    <w:rsid w:val="003C239C"/>
    <w:rsid w:val="003F1DF4"/>
    <w:rsid w:val="003F5F6A"/>
    <w:rsid w:val="003F6A05"/>
    <w:rsid w:val="004046B5"/>
    <w:rsid w:val="00406838"/>
    <w:rsid w:val="00413F8A"/>
    <w:rsid w:val="004161A6"/>
    <w:rsid w:val="004223BD"/>
    <w:rsid w:val="00427840"/>
    <w:rsid w:val="00427BCF"/>
    <w:rsid w:val="00431F91"/>
    <w:rsid w:val="004322AE"/>
    <w:rsid w:val="004337A9"/>
    <w:rsid w:val="004355E2"/>
    <w:rsid w:val="00435D37"/>
    <w:rsid w:val="0043619D"/>
    <w:rsid w:val="004473B5"/>
    <w:rsid w:val="004475B9"/>
    <w:rsid w:val="004501C2"/>
    <w:rsid w:val="00451C2A"/>
    <w:rsid w:val="0045621F"/>
    <w:rsid w:val="00456F79"/>
    <w:rsid w:val="004609CA"/>
    <w:rsid w:val="00461770"/>
    <w:rsid w:val="00461EB2"/>
    <w:rsid w:val="0046719C"/>
    <w:rsid w:val="00467E32"/>
    <w:rsid w:val="00470D71"/>
    <w:rsid w:val="004729B4"/>
    <w:rsid w:val="0047340B"/>
    <w:rsid w:val="004749DA"/>
    <w:rsid w:val="00476644"/>
    <w:rsid w:val="00476E26"/>
    <w:rsid w:val="00480CDA"/>
    <w:rsid w:val="00481A80"/>
    <w:rsid w:val="00483FF3"/>
    <w:rsid w:val="00485359"/>
    <w:rsid w:val="004875DF"/>
    <w:rsid w:val="004904B4"/>
    <w:rsid w:val="00491328"/>
    <w:rsid w:val="004928E4"/>
    <w:rsid w:val="00494746"/>
    <w:rsid w:val="0049680D"/>
    <w:rsid w:val="00496932"/>
    <w:rsid w:val="00496FA0"/>
    <w:rsid w:val="004A7EC9"/>
    <w:rsid w:val="004B4282"/>
    <w:rsid w:val="004B4BF3"/>
    <w:rsid w:val="004B4D4C"/>
    <w:rsid w:val="004C0A0C"/>
    <w:rsid w:val="004C2987"/>
    <w:rsid w:val="004C58D7"/>
    <w:rsid w:val="004D0718"/>
    <w:rsid w:val="004D1329"/>
    <w:rsid w:val="004D2113"/>
    <w:rsid w:val="004D33E3"/>
    <w:rsid w:val="004D5C1F"/>
    <w:rsid w:val="004D7022"/>
    <w:rsid w:val="004D7BAF"/>
    <w:rsid w:val="004D7BB1"/>
    <w:rsid w:val="004E087F"/>
    <w:rsid w:val="004E1F83"/>
    <w:rsid w:val="004E2186"/>
    <w:rsid w:val="004E2BDA"/>
    <w:rsid w:val="004E41F9"/>
    <w:rsid w:val="004F0C40"/>
    <w:rsid w:val="004F276C"/>
    <w:rsid w:val="00500A2E"/>
    <w:rsid w:val="005049D2"/>
    <w:rsid w:val="00505532"/>
    <w:rsid w:val="00514C99"/>
    <w:rsid w:val="00516971"/>
    <w:rsid w:val="005175D2"/>
    <w:rsid w:val="0052028F"/>
    <w:rsid w:val="00521403"/>
    <w:rsid w:val="0052337A"/>
    <w:rsid w:val="00523B97"/>
    <w:rsid w:val="00525E4B"/>
    <w:rsid w:val="00526F68"/>
    <w:rsid w:val="005311A1"/>
    <w:rsid w:val="00537D98"/>
    <w:rsid w:val="0054100C"/>
    <w:rsid w:val="005427D9"/>
    <w:rsid w:val="005448D9"/>
    <w:rsid w:val="00544AA8"/>
    <w:rsid w:val="00545823"/>
    <w:rsid w:val="0054685E"/>
    <w:rsid w:val="00550483"/>
    <w:rsid w:val="0055070E"/>
    <w:rsid w:val="00551D58"/>
    <w:rsid w:val="00560024"/>
    <w:rsid w:val="00570CD8"/>
    <w:rsid w:val="005738C8"/>
    <w:rsid w:val="005751B5"/>
    <w:rsid w:val="005769E6"/>
    <w:rsid w:val="00580BED"/>
    <w:rsid w:val="0058575D"/>
    <w:rsid w:val="00591C2D"/>
    <w:rsid w:val="005934D8"/>
    <w:rsid w:val="005967E9"/>
    <w:rsid w:val="005973DE"/>
    <w:rsid w:val="005977E1"/>
    <w:rsid w:val="005A77D5"/>
    <w:rsid w:val="005B3301"/>
    <w:rsid w:val="005B51D3"/>
    <w:rsid w:val="005B5B18"/>
    <w:rsid w:val="005B6FAF"/>
    <w:rsid w:val="005B7853"/>
    <w:rsid w:val="005C01D4"/>
    <w:rsid w:val="005D0B92"/>
    <w:rsid w:val="005D26A5"/>
    <w:rsid w:val="005D2A70"/>
    <w:rsid w:val="005D5232"/>
    <w:rsid w:val="005D6734"/>
    <w:rsid w:val="005D7722"/>
    <w:rsid w:val="005E1032"/>
    <w:rsid w:val="005E2B94"/>
    <w:rsid w:val="005E4447"/>
    <w:rsid w:val="005F1885"/>
    <w:rsid w:val="005F5FF2"/>
    <w:rsid w:val="005F640D"/>
    <w:rsid w:val="006002CF"/>
    <w:rsid w:val="00600E4E"/>
    <w:rsid w:val="00603231"/>
    <w:rsid w:val="00606E11"/>
    <w:rsid w:val="00607AC0"/>
    <w:rsid w:val="006130FB"/>
    <w:rsid w:val="0061450B"/>
    <w:rsid w:val="00615C66"/>
    <w:rsid w:val="00617AC0"/>
    <w:rsid w:val="00621BF8"/>
    <w:rsid w:val="00626048"/>
    <w:rsid w:val="00630F76"/>
    <w:rsid w:val="00636BF0"/>
    <w:rsid w:val="00636EAB"/>
    <w:rsid w:val="006373DB"/>
    <w:rsid w:val="0063775A"/>
    <w:rsid w:val="00640DE6"/>
    <w:rsid w:val="006410DA"/>
    <w:rsid w:val="00643F58"/>
    <w:rsid w:val="00644987"/>
    <w:rsid w:val="00645193"/>
    <w:rsid w:val="00655F70"/>
    <w:rsid w:val="0065798A"/>
    <w:rsid w:val="00663E48"/>
    <w:rsid w:val="00680BC3"/>
    <w:rsid w:val="00682397"/>
    <w:rsid w:val="00685E43"/>
    <w:rsid w:val="006877C2"/>
    <w:rsid w:val="0069186A"/>
    <w:rsid w:val="006928E4"/>
    <w:rsid w:val="00694953"/>
    <w:rsid w:val="00696F3E"/>
    <w:rsid w:val="006976C6"/>
    <w:rsid w:val="006A09A1"/>
    <w:rsid w:val="006A22B8"/>
    <w:rsid w:val="006A3F1F"/>
    <w:rsid w:val="006A4A9F"/>
    <w:rsid w:val="006A5A11"/>
    <w:rsid w:val="006A648D"/>
    <w:rsid w:val="006B263B"/>
    <w:rsid w:val="006B5321"/>
    <w:rsid w:val="006B76DA"/>
    <w:rsid w:val="006C3679"/>
    <w:rsid w:val="006C3A0D"/>
    <w:rsid w:val="006C6621"/>
    <w:rsid w:val="006C6F98"/>
    <w:rsid w:val="006D18E7"/>
    <w:rsid w:val="006D2557"/>
    <w:rsid w:val="006D3A39"/>
    <w:rsid w:val="006D5F3D"/>
    <w:rsid w:val="006E1DD3"/>
    <w:rsid w:val="006E4ACC"/>
    <w:rsid w:val="006E5D72"/>
    <w:rsid w:val="006E7A18"/>
    <w:rsid w:val="006F1609"/>
    <w:rsid w:val="006F535B"/>
    <w:rsid w:val="006F6008"/>
    <w:rsid w:val="00703582"/>
    <w:rsid w:val="00703C79"/>
    <w:rsid w:val="00706409"/>
    <w:rsid w:val="00713D58"/>
    <w:rsid w:val="0071585E"/>
    <w:rsid w:val="00717FB5"/>
    <w:rsid w:val="00721647"/>
    <w:rsid w:val="0072297D"/>
    <w:rsid w:val="00726576"/>
    <w:rsid w:val="00731CEE"/>
    <w:rsid w:val="00733D10"/>
    <w:rsid w:val="00735B3E"/>
    <w:rsid w:val="00735F1A"/>
    <w:rsid w:val="007415A3"/>
    <w:rsid w:val="007508B5"/>
    <w:rsid w:val="00751F50"/>
    <w:rsid w:val="00754350"/>
    <w:rsid w:val="0075496F"/>
    <w:rsid w:val="0076090B"/>
    <w:rsid w:val="00760B14"/>
    <w:rsid w:val="00762561"/>
    <w:rsid w:val="00765365"/>
    <w:rsid w:val="007749E1"/>
    <w:rsid w:val="007805C8"/>
    <w:rsid w:val="00781060"/>
    <w:rsid w:val="00793FC4"/>
    <w:rsid w:val="00794B94"/>
    <w:rsid w:val="007954E6"/>
    <w:rsid w:val="00796A62"/>
    <w:rsid w:val="00797252"/>
    <w:rsid w:val="007A20F4"/>
    <w:rsid w:val="007A3574"/>
    <w:rsid w:val="007A4115"/>
    <w:rsid w:val="007A4186"/>
    <w:rsid w:val="007A473F"/>
    <w:rsid w:val="007A6C5C"/>
    <w:rsid w:val="007B13B8"/>
    <w:rsid w:val="007B4A17"/>
    <w:rsid w:val="007B4AD5"/>
    <w:rsid w:val="007B6480"/>
    <w:rsid w:val="007B6B58"/>
    <w:rsid w:val="007C0051"/>
    <w:rsid w:val="007C21B3"/>
    <w:rsid w:val="007C3018"/>
    <w:rsid w:val="007C4D21"/>
    <w:rsid w:val="007D0049"/>
    <w:rsid w:val="007D2781"/>
    <w:rsid w:val="007D314B"/>
    <w:rsid w:val="007D617A"/>
    <w:rsid w:val="007E0A37"/>
    <w:rsid w:val="007F19E6"/>
    <w:rsid w:val="007F21F2"/>
    <w:rsid w:val="007F434B"/>
    <w:rsid w:val="00802534"/>
    <w:rsid w:val="00802BCB"/>
    <w:rsid w:val="00810416"/>
    <w:rsid w:val="00810A8C"/>
    <w:rsid w:val="00815E4F"/>
    <w:rsid w:val="00820C61"/>
    <w:rsid w:val="008210DC"/>
    <w:rsid w:val="008263D6"/>
    <w:rsid w:val="008266C6"/>
    <w:rsid w:val="0083167D"/>
    <w:rsid w:val="00833074"/>
    <w:rsid w:val="00835A7F"/>
    <w:rsid w:val="00842454"/>
    <w:rsid w:val="00845FDF"/>
    <w:rsid w:val="00846C83"/>
    <w:rsid w:val="0084710C"/>
    <w:rsid w:val="008549A7"/>
    <w:rsid w:val="00860C1B"/>
    <w:rsid w:val="00861F23"/>
    <w:rsid w:val="00863DF2"/>
    <w:rsid w:val="00865AA7"/>
    <w:rsid w:val="00865B6E"/>
    <w:rsid w:val="00867937"/>
    <w:rsid w:val="00874689"/>
    <w:rsid w:val="00881083"/>
    <w:rsid w:val="008937CA"/>
    <w:rsid w:val="00894235"/>
    <w:rsid w:val="0089692F"/>
    <w:rsid w:val="00896BBC"/>
    <w:rsid w:val="008A12BF"/>
    <w:rsid w:val="008A2343"/>
    <w:rsid w:val="008A6B74"/>
    <w:rsid w:val="008B3B37"/>
    <w:rsid w:val="008B4E2B"/>
    <w:rsid w:val="008B571E"/>
    <w:rsid w:val="008C09BE"/>
    <w:rsid w:val="008C430E"/>
    <w:rsid w:val="008C4E88"/>
    <w:rsid w:val="008C554E"/>
    <w:rsid w:val="008C7985"/>
    <w:rsid w:val="008D359A"/>
    <w:rsid w:val="008D383A"/>
    <w:rsid w:val="008D47D1"/>
    <w:rsid w:val="008D71B6"/>
    <w:rsid w:val="008E48F0"/>
    <w:rsid w:val="008E5631"/>
    <w:rsid w:val="008E74B3"/>
    <w:rsid w:val="008E7546"/>
    <w:rsid w:val="008F194A"/>
    <w:rsid w:val="008F322C"/>
    <w:rsid w:val="008F33F3"/>
    <w:rsid w:val="008F73C6"/>
    <w:rsid w:val="009032C9"/>
    <w:rsid w:val="009038F2"/>
    <w:rsid w:val="0090469A"/>
    <w:rsid w:val="0090470F"/>
    <w:rsid w:val="009073B1"/>
    <w:rsid w:val="00910643"/>
    <w:rsid w:val="0091467D"/>
    <w:rsid w:val="00915BFF"/>
    <w:rsid w:val="00916108"/>
    <w:rsid w:val="00920CF2"/>
    <w:rsid w:val="0092164A"/>
    <w:rsid w:val="00922D7A"/>
    <w:rsid w:val="00924541"/>
    <w:rsid w:val="009250DF"/>
    <w:rsid w:val="0092691E"/>
    <w:rsid w:val="00932308"/>
    <w:rsid w:val="00933700"/>
    <w:rsid w:val="009420FB"/>
    <w:rsid w:val="00945293"/>
    <w:rsid w:val="00946B1E"/>
    <w:rsid w:val="009478F1"/>
    <w:rsid w:val="00951F86"/>
    <w:rsid w:val="00952DCC"/>
    <w:rsid w:val="00953CFC"/>
    <w:rsid w:val="00956269"/>
    <w:rsid w:val="00961402"/>
    <w:rsid w:val="00961A9A"/>
    <w:rsid w:val="00962F19"/>
    <w:rsid w:val="009632D2"/>
    <w:rsid w:val="00966725"/>
    <w:rsid w:val="009718A7"/>
    <w:rsid w:val="00971A13"/>
    <w:rsid w:val="00974104"/>
    <w:rsid w:val="009807A5"/>
    <w:rsid w:val="009819DA"/>
    <w:rsid w:val="00983071"/>
    <w:rsid w:val="009849D8"/>
    <w:rsid w:val="0098561D"/>
    <w:rsid w:val="00985CEE"/>
    <w:rsid w:val="0099129F"/>
    <w:rsid w:val="00991AA5"/>
    <w:rsid w:val="009950EA"/>
    <w:rsid w:val="00995A77"/>
    <w:rsid w:val="009967E2"/>
    <w:rsid w:val="00997729"/>
    <w:rsid w:val="009A05CB"/>
    <w:rsid w:val="009A17BE"/>
    <w:rsid w:val="009A2201"/>
    <w:rsid w:val="009A55F1"/>
    <w:rsid w:val="009A566C"/>
    <w:rsid w:val="009A57D6"/>
    <w:rsid w:val="009A6106"/>
    <w:rsid w:val="009A644D"/>
    <w:rsid w:val="009B1692"/>
    <w:rsid w:val="009B5A1D"/>
    <w:rsid w:val="009B5EB2"/>
    <w:rsid w:val="009B65D1"/>
    <w:rsid w:val="009B6808"/>
    <w:rsid w:val="009B793D"/>
    <w:rsid w:val="009C0A0F"/>
    <w:rsid w:val="009C0CCE"/>
    <w:rsid w:val="009C1EF1"/>
    <w:rsid w:val="009C3408"/>
    <w:rsid w:val="009C4B86"/>
    <w:rsid w:val="009C54D0"/>
    <w:rsid w:val="009D2027"/>
    <w:rsid w:val="009D75E7"/>
    <w:rsid w:val="009F25DC"/>
    <w:rsid w:val="009F47D6"/>
    <w:rsid w:val="00A14EEB"/>
    <w:rsid w:val="00A16075"/>
    <w:rsid w:val="00A2024F"/>
    <w:rsid w:val="00A21036"/>
    <w:rsid w:val="00A27953"/>
    <w:rsid w:val="00A315F5"/>
    <w:rsid w:val="00A31905"/>
    <w:rsid w:val="00A31CE3"/>
    <w:rsid w:val="00A32525"/>
    <w:rsid w:val="00A337CD"/>
    <w:rsid w:val="00A36CFC"/>
    <w:rsid w:val="00A371D5"/>
    <w:rsid w:val="00A37948"/>
    <w:rsid w:val="00A41DF3"/>
    <w:rsid w:val="00A42675"/>
    <w:rsid w:val="00A429CD"/>
    <w:rsid w:val="00A42D36"/>
    <w:rsid w:val="00A44B4D"/>
    <w:rsid w:val="00A44D66"/>
    <w:rsid w:val="00A4645C"/>
    <w:rsid w:val="00A522C1"/>
    <w:rsid w:val="00A64D28"/>
    <w:rsid w:val="00A6585C"/>
    <w:rsid w:val="00A6608D"/>
    <w:rsid w:val="00A71778"/>
    <w:rsid w:val="00A73280"/>
    <w:rsid w:val="00A7386B"/>
    <w:rsid w:val="00A751DE"/>
    <w:rsid w:val="00A80735"/>
    <w:rsid w:val="00A8187E"/>
    <w:rsid w:val="00A83866"/>
    <w:rsid w:val="00A83D1E"/>
    <w:rsid w:val="00A84A0E"/>
    <w:rsid w:val="00A84FB2"/>
    <w:rsid w:val="00A84FC6"/>
    <w:rsid w:val="00A85E27"/>
    <w:rsid w:val="00A8657A"/>
    <w:rsid w:val="00A86870"/>
    <w:rsid w:val="00A94D0C"/>
    <w:rsid w:val="00A957AF"/>
    <w:rsid w:val="00A9634D"/>
    <w:rsid w:val="00AA0449"/>
    <w:rsid w:val="00AA1E4A"/>
    <w:rsid w:val="00AA255F"/>
    <w:rsid w:val="00AA346C"/>
    <w:rsid w:val="00AA42BD"/>
    <w:rsid w:val="00AA467B"/>
    <w:rsid w:val="00AA5261"/>
    <w:rsid w:val="00AA6146"/>
    <w:rsid w:val="00AA6A39"/>
    <w:rsid w:val="00AA6AD8"/>
    <w:rsid w:val="00AB1991"/>
    <w:rsid w:val="00AB1D53"/>
    <w:rsid w:val="00AB1FCF"/>
    <w:rsid w:val="00AB7873"/>
    <w:rsid w:val="00AB7EF9"/>
    <w:rsid w:val="00AC084C"/>
    <w:rsid w:val="00AC5491"/>
    <w:rsid w:val="00AC6704"/>
    <w:rsid w:val="00AC6B03"/>
    <w:rsid w:val="00AC6F31"/>
    <w:rsid w:val="00AC7C2A"/>
    <w:rsid w:val="00AD0C1F"/>
    <w:rsid w:val="00AD115E"/>
    <w:rsid w:val="00AD1AA5"/>
    <w:rsid w:val="00AD4EF2"/>
    <w:rsid w:val="00AD4F1C"/>
    <w:rsid w:val="00AD5665"/>
    <w:rsid w:val="00AD5BA7"/>
    <w:rsid w:val="00AD6551"/>
    <w:rsid w:val="00AE248D"/>
    <w:rsid w:val="00AE3931"/>
    <w:rsid w:val="00AE5455"/>
    <w:rsid w:val="00AE6A3E"/>
    <w:rsid w:val="00AE6B91"/>
    <w:rsid w:val="00AF029D"/>
    <w:rsid w:val="00AF405A"/>
    <w:rsid w:val="00B00EF3"/>
    <w:rsid w:val="00B02290"/>
    <w:rsid w:val="00B0587B"/>
    <w:rsid w:val="00B101CA"/>
    <w:rsid w:val="00B10558"/>
    <w:rsid w:val="00B106C0"/>
    <w:rsid w:val="00B13EF5"/>
    <w:rsid w:val="00B227F7"/>
    <w:rsid w:val="00B22A23"/>
    <w:rsid w:val="00B25377"/>
    <w:rsid w:val="00B26679"/>
    <w:rsid w:val="00B26CDC"/>
    <w:rsid w:val="00B270D4"/>
    <w:rsid w:val="00B27E30"/>
    <w:rsid w:val="00B31077"/>
    <w:rsid w:val="00B324A3"/>
    <w:rsid w:val="00B33195"/>
    <w:rsid w:val="00B36305"/>
    <w:rsid w:val="00B40AE7"/>
    <w:rsid w:val="00B42439"/>
    <w:rsid w:val="00B43387"/>
    <w:rsid w:val="00B45145"/>
    <w:rsid w:val="00B47226"/>
    <w:rsid w:val="00B507D8"/>
    <w:rsid w:val="00B50DDB"/>
    <w:rsid w:val="00B515CC"/>
    <w:rsid w:val="00B51A30"/>
    <w:rsid w:val="00B520E0"/>
    <w:rsid w:val="00B57B85"/>
    <w:rsid w:val="00B60861"/>
    <w:rsid w:val="00B61FA4"/>
    <w:rsid w:val="00B667D8"/>
    <w:rsid w:val="00B71E05"/>
    <w:rsid w:val="00B7360B"/>
    <w:rsid w:val="00B76753"/>
    <w:rsid w:val="00B76A7C"/>
    <w:rsid w:val="00B7708B"/>
    <w:rsid w:val="00B84154"/>
    <w:rsid w:val="00B875FE"/>
    <w:rsid w:val="00B90556"/>
    <w:rsid w:val="00B9203E"/>
    <w:rsid w:val="00B92A9A"/>
    <w:rsid w:val="00B934A2"/>
    <w:rsid w:val="00B93DD1"/>
    <w:rsid w:val="00B96B0D"/>
    <w:rsid w:val="00BA0B9B"/>
    <w:rsid w:val="00BA4E35"/>
    <w:rsid w:val="00BA771F"/>
    <w:rsid w:val="00BB3D8C"/>
    <w:rsid w:val="00BB4732"/>
    <w:rsid w:val="00BB4942"/>
    <w:rsid w:val="00BB4F03"/>
    <w:rsid w:val="00BB54CE"/>
    <w:rsid w:val="00BC6143"/>
    <w:rsid w:val="00BD0249"/>
    <w:rsid w:val="00BD0871"/>
    <w:rsid w:val="00BD632D"/>
    <w:rsid w:val="00BD69D1"/>
    <w:rsid w:val="00BE0D70"/>
    <w:rsid w:val="00BE27A6"/>
    <w:rsid w:val="00BE3DAC"/>
    <w:rsid w:val="00BE6A3C"/>
    <w:rsid w:val="00BE7D50"/>
    <w:rsid w:val="00BF072C"/>
    <w:rsid w:val="00BF0733"/>
    <w:rsid w:val="00BF18A1"/>
    <w:rsid w:val="00BF18F1"/>
    <w:rsid w:val="00BF38A4"/>
    <w:rsid w:val="00BF761A"/>
    <w:rsid w:val="00BF7776"/>
    <w:rsid w:val="00C00AE7"/>
    <w:rsid w:val="00C026F2"/>
    <w:rsid w:val="00C13A64"/>
    <w:rsid w:val="00C148CC"/>
    <w:rsid w:val="00C15688"/>
    <w:rsid w:val="00C17B02"/>
    <w:rsid w:val="00C25C8B"/>
    <w:rsid w:val="00C278F0"/>
    <w:rsid w:val="00C339F8"/>
    <w:rsid w:val="00C34CA7"/>
    <w:rsid w:val="00C363ED"/>
    <w:rsid w:val="00C36F6F"/>
    <w:rsid w:val="00C37E9A"/>
    <w:rsid w:val="00C44BAB"/>
    <w:rsid w:val="00C4698B"/>
    <w:rsid w:val="00C47B65"/>
    <w:rsid w:val="00C5022C"/>
    <w:rsid w:val="00C518B7"/>
    <w:rsid w:val="00C51E65"/>
    <w:rsid w:val="00C5365F"/>
    <w:rsid w:val="00C54AF5"/>
    <w:rsid w:val="00C561D0"/>
    <w:rsid w:val="00C57379"/>
    <w:rsid w:val="00C65DFD"/>
    <w:rsid w:val="00C70004"/>
    <w:rsid w:val="00C730D0"/>
    <w:rsid w:val="00C73A89"/>
    <w:rsid w:val="00C7482B"/>
    <w:rsid w:val="00C74999"/>
    <w:rsid w:val="00C830AB"/>
    <w:rsid w:val="00C84614"/>
    <w:rsid w:val="00C85259"/>
    <w:rsid w:val="00C87DDA"/>
    <w:rsid w:val="00C95E25"/>
    <w:rsid w:val="00C95E6F"/>
    <w:rsid w:val="00C9723F"/>
    <w:rsid w:val="00CA3E9F"/>
    <w:rsid w:val="00CA58FA"/>
    <w:rsid w:val="00CA6A2C"/>
    <w:rsid w:val="00CB10B6"/>
    <w:rsid w:val="00CB50DF"/>
    <w:rsid w:val="00CB6CD4"/>
    <w:rsid w:val="00CB7E28"/>
    <w:rsid w:val="00CC4F65"/>
    <w:rsid w:val="00CC6867"/>
    <w:rsid w:val="00CC6970"/>
    <w:rsid w:val="00CC78B5"/>
    <w:rsid w:val="00CC7982"/>
    <w:rsid w:val="00CD309D"/>
    <w:rsid w:val="00CD32E8"/>
    <w:rsid w:val="00CD4F65"/>
    <w:rsid w:val="00CE034A"/>
    <w:rsid w:val="00CE502D"/>
    <w:rsid w:val="00CE7AD7"/>
    <w:rsid w:val="00CF3A0B"/>
    <w:rsid w:val="00CF511B"/>
    <w:rsid w:val="00CF6C82"/>
    <w:rsid w:val="00D00D00"/>
    <w:rsid w:val="00D02E68"/>
    <w:rsid w:val="00D067C6"/>
    <w:rsid w:val="00D110E7"/>
    <w:rsid w:val="00D13166"/>
    <w:rsid w:val="00D16D9D"/>
    <w:rsid w:val="00D17ED4"/>
    <w:rsid w:val="00D22189"/>
    <w:rsid w:val="00D234A4"/>
    <w:rsid w:val="00D235AF"/>
    <w:rsid w:val="00D23B71"/>
    <w:rsid w:val="00D252B8"/>
    <w:rsid w:val="00D26969"/>
    <w:rsid w:val="00D33E04"/>
    <w:rsid w:val="00D35C60"/>
    <w:rsid w:val="00D37C90"/>
    <w:rsid w:val="00D4440F"/>
    <w:rsid w:val="00D444F8"/>
    <w:rsid w:val="00D44F37"/>
    <w:rsid w:val="00D45C46"/>
    <w:rsid w:val="00D525A3"/>
    <w:rsid w:val="00D544FC"/>
    <w:rsid w:val="00D554F7"/>
    <w:rsid w:val="00D55C23"/>
    <w:rsid w:val="00D56282"/>
    <w:rsid w:val="00D56D41"/>
    <w:rsid w:val="00D65673"/>
    <w:rsid w:val="00D76747"/>
    <w:rsid w:val="00D77096"/>
    <w:rsid w:val="00D77DEE"/>
    <w:rsid w:val="00D844A8"/>
    <w:rsid w:val="00D868E2"/>
    <w:rsid w:val="00D87D5D"/>
    <w:rsid w:val="00D905C4"/>
    <w:rsid w:val="00D93540"/>
    <w:rsid w:val="00D937CC"/>
    <w:rsid w:val="00D97704"/>
    <w:rsid w:val="00DA155A"/>
    <w:rsid w:val="00DA2A97"/>
    <w:rsid w:val="00DA5770"/>
    <w:rsid w:val="00DA7967"/>
    <w:rsid w:val="00DB0099"/>
    <w:rsid w:val="00DB0491"/>
    <w:rsid w:val="00DB1E6A"/>
    <w:rsid w:val="00DB40EE"/>
    <w:rsid w:val="00DB435B"/>
    <w:rsid w:val="00DB5DCB"/>
    <w:rsid w:val="00DB6915"/>
    <w:rsid w:val="00DB77FD"/>
    <w:rsid w:val="00DB785F"/>
    <w:rsid w:val="00DC120D"/>
    <w:rsid w:val="00DC27A2"/>
    <w:rsid w:val="00DC3AFF"/>
    <w:rsid w:val="00DC4E73"/>
    <w:rsid w:val="00DD12CD"/>
    <w:rsid w:val="00DD2250"/>
    <w:rsid w:val="00DD33D0"/>
    <w:rsid w:val="00DE13C0"/>
    <w:rsid w:val="00DE328B"/>
    <w:rsid w:val="00DE37F5"/>
    <w:rsid w:val="00DE63F2"/>
    <w:rsid w:val="00DE64C4"/>
    <w:rsid w:val="00DE7478"/>
    <w:rsid w:val="00DE78DF"/>
    <w:rsid w:val="00DF0CF8"/>
    <w:rsid w:val="00DF1C7C"/>
    <w:rsid w:val="00DF430B"/>
    <w:rsid w:val="00DF5C03"/>
    <w:rsid w:val="00E04C10"/>
    <w:rsid w:val="00E06460"/>
    <w:rsid w:val="00E069E8"/>
    <w:rsid w:val="00E14520"/>
    <w:rsid w:val="00E14AC9"/>
    <w:rsid w:val="00E15C12"/>
    <w:rsid w:val="00E1747D"/>
    <w:rsid w:val="00E25FBD"/>
    <w:rsid w:val="00E27E61"/>
    <w:rsid w:val="00E359C0"/>
    <w:rsid w:val="00E368FF"/>
    <w:rsid w:val="00E4001B"/>
    <w:rsid w:val="00E40CBF"/>
    <w:rsid w:val="00E410AC"/>
    <w:rsid w:val="00E4636B"/>
    <w:rsid w:val="00E4784D"/>
    <w:rsid w:val="00E512B2"/>
    <w:rsid w:val="00E525D5"/>
    <w:rsid w:val="00E538BC"/>
    <w:rsid w:val="00E549EF"/>
    <w:rsid w:val="00E55645"/>
    <w:rsid w:val="00E55FAD"/>
    <w:rsid w:val="00E56AC9"/>
    <w:rsid w:val="00E60C01"/>
    <w:rsid w:val="00E63AB3"/>
    <w:rsid w:val="00E656ED"/>
    <w:rsid w:val="00E66733"/>
    <w:rsid w:val="00E66EE3"/>
    <w:rsid w:val="00E6744A"/>
    <w:rsid w:val="00E67833"/>
    <w:rsid w:val="00E712F1"/>
    <w:rsid w:val="00E82F5F"/>
    <w:rsid w:val="00E8407B"/>
    <w:rsid w:val="00E848CC"/>
    <w:rsid w:val="00E87897"/>
    <w:rsid w:val="00E903BD"/>
    <w:rsid w:val="00E92C96"/>
    <w:rsid w:val="00E9645C"/>
    <w:rsid w:val="00E96F12"/>
    <w:rsid w:val="00E97624"/>
    <w:rsid w:val="00E977A6"/>
    <w:rsid w:val="00EA21F7"/>
    <w:rsid w:val="00EA5E90"/>
    <w:rsid w:val="00EB3D36"/>
    <w:rsid w:val="00EB6034"/>
    <w:rsid w:val="00EC5A6A"/>
    <w:rsid w:val="00EC7B22"/>
    <w:rsid w:val="00EC7E5A"/>
    <w:rsid w:val="00ED03B6"/>
    <w:rsid w:val="00ED0E22"/>
    <w:rsid w:val="00ED1D79"/>
    <w:rsid w:val="00ED5901"/>
    <w:rsid w:val="00EE1529"/>
    <w:rsid w:val="00EE4DE1"/>
    <w:rsid w:val="00EE6021"/>
    <w:rsid w:val="00EF0FB7"/>
    <w:rsid w:val="00EF2DA8"/>
    <w:rsid w:val="00EF2E04"/>
    <w:rsid w:val="00EF4E0B"/>
    <w:rsid w:val="00F03A83"/>
    <w:rsid w:val="00F03D55"/>
    <w:rsid w:val="00F0496A"/>
    <w:rsid w:val="00F13EAE"/>
    <w:rsid w:val="00F14CE9"/>
    <w:rsid w:val="00F172E9"/>
    <w:rsid w:val="00F20100"/>
    <w:rsid w:val="00F20EEF"/>
    <w:rsid w:val="00F21A16"/>
    <w:rsid w:val="00F229BE"/>
    <w:rsid w:val="00F22F43"/>
    <w:rsid w:val="00F266CF"/>
    <w:rsid w:val="00F27080"/>
    <w:rsid w:val="00F325AE"/>
    <w:rsid w:val="00F351F0"/>
    <w:rsid w:val="00F36258"/>
    <w:rsid w:val="00F37CC7"/>
    <w:rsid w:val="00F37FA1"/>
    <w:rsid w:val="00F41C26"/>
    <w:rsid w:val="00F4356D"/>
    <w:rsid w:val="00F447E7"/>
    <w:rsid w:val="00F4485B"/>
    <w:rsid w:val="00F44B28"/>
    <w:rsid w:val="00F45D59"/>
    <w:rsid w:val="00F46D3D"/>
    <w:rsid w:val="00F47B7D"/>
    <w:rsid w:val="00F53F4F"/>
    <w:rsid w:val="00F5581C"/>
    <w:rsid w:val="00F55B7B"/>
    <w:rsid w:val="00F55F80"/>
    <w:rsid w:val="00F63556"/>
    <w:rsid w:val="00F65525"/>
    <w:rsid w:val="00F66EBB"/>
    <w:rsid w:val="00F703FB"/>
    <w:rsid w:val="00F720D1"/>
    <w:rsid w:val="00F76A83"/>
    <w:rsid w:val="00F80D69"/>
    <w:rsid w:val="00F818D2"/>
    <w:rsid w:val="00F81918"/>
    <w:rsid w:val="00F83D4A"/>
    <w:rsid w:val="00F84064"/>
    <w:rsid w:val="00F860F4"/>
    <w:rsid w:val="00F87ABE"/>
    <w:rsid w:val="00F87DA7"/>
    <w:rsid w:val="00F900BD"/>
    <w:rsid w:val="00F908D4"/>
    <w:rsid w:val="00F909C0"/>
    <w:rsid w:val="00F91705"/>
    <w:rsid w:val="00F926FE"/>
    <w:rsid w:val="00F93FDC"/>
    <w:rsid w:val="00F944E9"/>
    <w:rsid w:val="00F96CDA"/>
    <w:rsid w:val="00F97785"/>
    <w:rsid w:val="00FA1CAE"/>
    <w:rsid w:val="00FA5017"/>
    <w:rsid w:val="00FB0883"/>
    <w:rsid w:val="00FB093F"/>
    <w:rsid w:val="00FB0AB5"/>
    <w:rsid w:val="00FB1939"/>
    <w:rsid w:val="00FB5422"/>
    <w:rsid w:val="00FB6383"/>
    <w:rsid w:val="00FB7AFF"/>
    <w:rsid w:val="00FC0DC8"/>
    <w:rsid w:val="00FC2A13"/>
    <w:rsid w:val="00FC4902"/>
    <w:rsid w:val="00FC60DD"/>
    <w:rsid w:val="00FD4F35"/>
    <w:rsid w:val="00FD5CAB"/>
    <w:rsid w:val="00FE2228"/>
    <w:rsid w:val="00FE378A"/>
    <w:rsid w:val="00FE3E8A"/>
    <w:rsid w:val="00FE65D6"/>
    <w:rsid w:val="00FE7327"/>
    <w:rsid w:val="00FF00C1"/>
    <w:rsid w:val="00FF0589"/>
    <w:rsid w:val="00FF70E5"/>
    <w:rsid w:val="4F50F331"/>
    <w:rsid w:val="65415F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995D"/>
  <w15:chartTrackingRefBased/>
  <w15:docId w15:val="{5E6C6846-B191-441B-B91A-D5B64B2A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0E55CD"/>
    <w:pPr>
      <w:spacing w:before="480" w:after="240"/>
      <w:outlineLvl w:val="0"/>
    </w:pPr>
    <w:rPr>
      <w:b/>
      <w:bCs/>
      <w:sz w:val="36"/>
      <w:szCs w:val="36"/>
    </w:rPr>
  </w:style>
  <w:style w:type="paragraph" w:styleId="Titre2">
    <w:name w:val="heading 2"/>
    <w:basedOn w:val="Normal"/>
    <w:next w:val="Normal"/>
    <w:link w:val="Titre2Car"/>
    <w:qFormat/>
    <w:rsid w:val="007508B5"/>
    <w:pPr>
      <w:keepNext/>
      <w:spacing w:before="240" w:after="120" w:line="276" w:lineRule="auto"/>
      <w:jc w:val="both"/>
      <w:outlineLvl w:val="1"/>
    </w:pPr>
    <w:rPr>
      <w:rFonts w:ascii="Calibri" w:eastAsia="Calibri" w:hAnsi="Calibri" w:cs="Times New Roman"/>
      <w:b/>
      <w:bCs/>
      <w:iCs/>
      <w:sz w:val="24"/>
      <w:szCs w:val="28"/>
      <w:u w:val="single"/>
      <w:lang w:eastAsia="fr-FR"/>
    </w:rPr>
  </w:style>
  <w:style w:type="paragraph" w:styleId="Titre3">
    <w:name w:val="heading 3"/>
    <w:next w:val="Normal"/>
    <w:link w:val="Titre3Car"/>
    <w:qFormat/>
    <w:rsid w:val="009718A7"/>
    <w:pPr>
      <w:spacing w:before="120" w:after="120"/>
      <w:outlineLvl w:val="2"/>
    </w:pPr>
    <w:rPr>
      <w:rFonts w:ascii="Calibri" w:eastAsia="Calibri" w:hAnsi="Calibri" w:cs="Times New Roman"/>
      <w:bCs/>
      <w:i/>
      <w:iCs/>
      <w:szCs w:val="24"/>
      <w:u w:val="single"/>
      <w:lang w:eastAsia="fr-FR"/>
    </w:rPr>
  </w:style>
  <w:style w:type="paragraph" w:styleId="Titre4">
    <w:name w:val="heading 4"/>
    <w:basedOn w:val="Normal"/>
    <w:next w:val="Normal"/>
    <w:link w:val="Titre4Car"/>
    <w:uiPriority w:val="9"/>
    <w:unhideWhenUsed/>
    <w:qFormat/>
    <w:rsid w:val="005C01D4"/>
    <w:pPr>
      <w:keepNext/>
      <w:keepLines/>
      <w:spacing w:before="120" w:after="12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538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3877"/>
    <w:rPr>
      <w:rFonts w:ascii="Segoe UI" w:hAnsi="Segoe UI" w:cs="Segoe UI"/>
      <w:sz w:val="18"/>
      <w:szCs w:val="18"/>
    </w:rPr>
  </w:style>
  <w:style w:type="paragraph" w:styleId="Paragraphedeliste">
    <w:name w:val="List Paragraph"/>
    <w:aliases w:val="TITRE2 STYLE GREG,TP Liste,texte de base,Puce focus,Normal bullet 2,List Paragraph1,Bullet list,LISTE1,CSTB Titre 2,CSTB.chap.,Norma Tiret,Contact,calia titre 3,texte tableau,Titre 1 Car1,armelle Car,Ondertekst Avida,bullet 1,bullet"/>
    <w:basedOn w:val="Normal"/>
    <w:link w:val="ParagraphedelisteCar"/>
    <w:uiPriority w:val="34"/>
    <w:qFormat/>
    <w:rsid w:val="00353877"/>
    <w:pPr>
      <w:ind w:left="720"/>
      <w:contextualSpacing/>
    </w:pPr>
  </w:style>
  <w:style w:type="paragraph" w:styleId="Titre">
    <w:name w:val="Title"/>
    <w:basedOn w:val="Titre1"/>
    <w:next w:val="Normal"/>
    <w:link w:val="TitreCar"/>
    <w:uiPriority w:val="10"/>
    <w:qFormat/>
    <w:rsid w:val="00AA5261"/>
    <w:pPr>
      <w:pageBreakBefore/>
      <w:jc w:val="right"/>
    </w:pPr>
    <w:rPr>
      <w:sz w:val="72"/>
      <w:szCs w:val="72"/>
    </w:rPr>
  </w:style>
  <w:style w:type="character" w:customStyle="1" w:styleId="TitreCar">
    <w:name w:val="Titre Car"/>
    <w:basedOn w:val="Policepardfaut"/>
    <w:link w:val="Titre"/>
    <w:uiPriority w:val="10"/>
    <w:rsid w:val="004D33E3"/>
    <w:rPr>
      <w:b/>
      <w:bCs/>
      <w:sz w:val="72"/>
      <w:szCs w:val="72"/>
    </w:rPr>
  </w:style>
  <w:style w:type="character" w:styleId="Accentuation">
    <w:name w:val="Emphasis"/>
    <w:basedOn w:val="Policepardfaut"/>
    <w:uiPriority w:val="20"/>
    <w:qFormat/>
    <w:rsid w:val="00CE502D"/>
    <w:rPr>
      <w:i/>
      <w:iCs/>
    </w:rPr>
  </w:style>
  <w:style w:type="paragraph" w:customStyle="1" w:styleId="Grillemoyenne1-Accent21">
    <w:name w:val="Grille moyenne 1 - Accent 21"/>
    <w:basedOn w:val="Normal"/>
    <w:uiPriority w:val="34"/>
    <w:qFormat/>
    <w:rsid w:val="00AD6551"/>
    <w:pPr>
      <w:spacing w:after="120" w:line="276" w:lineRule="auto"/>
      <w:ind w:left="708"/>
      <w:jc w:val="both"/>
    </w:pPr>
    <w:rPr>
      <w:rFonts w:ascii="Calibri" w:eastAsia="Times New Roman" w:hAnsi="Calibri" w:cs="Times New Roman"/>
      <w:szCs w:val="24"/>
      <w:lang w:eastAsia="fr-FR"/>
    </w:rPr>
  </w:style>
  <w:style w:type="paragraph" w:styleId="NormalWeb">
    <w:name w:val="Normal (Web)"/>
    <w:basedOn w:val="Normal"/>
    <w:uiPriority w:val="99"/>
    <w:unhideWhenUsed/>
    <w:rsid w:val="00F37F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aliases w:val="TITRE2 STYLE GREG Car,TP Liste Car,texte de base Car,Puce focus Car,Normal bullet 2 Car,List Paragraph1 Car,Bullet list Car,LISTE1 Car,CSTB Titre 2 Car,CSTB.chap. Car,Norma Tiret Car,Contact Car,calia titre 3 Car,Titre 1 Car1 Car"/>
    <w:link w:val="Paragraphedeliste"/>
    <w:uiPriority w:val="34"/>
    <w:locked/>
    <w:rsid w:val="00762561"/>
  </w:style>
  <w:style w:type="character" w:customStyle="1" w:styleId="Titre2Car">
    <w:name w:val="Titre 2 Car"/>
    <w:basedOn w:val="Policepardfaut"/>
    <w:link w:val="Titre2"/>
    <w:rsid w:val="00CB50DF"/>
    <w:rPr>
      <w:rFonts w:ascii="Calibri" w:eastAsia="Calibri" w:hAnsi="Calibri" w:cs="Times New Roman"/>
      <w:b/>
      <w:bCs/>
      <w:iCs/>
      <w:sz w:val="24"/>
      <w:szCs w:val="28"/>
      <w:u w:val="single"/>
      <w:lang w:eastAsia="fr-FR"/>
    </w:rPr>
  </w:style>
  <w:style w:type="character" w:customStyle="1" w:styleId="Titre3Car">
    <w:name w:val="Titre 3 Car"/>
    <w:basedOn w:val="Policepardfaut"/>
    <w:link w:val="Titre3"/>
    <w:rsid w:val="00C95E6F"/>
    <w:rPr>
      <w:rFonts w:ascii="Calibri" w:eastAsia="Calibri" w:hAnsi="Calibri" w:cs="Times New Roman"/>
      <w:bCs/>
      <w:i/>
      <w:iCs/>
      <w:szCs w:val="24"/>
      <w:u w:val="single"/>
      <w:lang w:eastAsia="fr-FR"/>
    </w:rPr>
  </w:style>
  <w:style w:type="character" w:customStyle="1" w:styleId="highlight">
    <w:name w:val="highlight"/>
    <w:basedOn w:val="Policepardfaut"/>
    <w:rsid w:val="00EF2DA8"/>
  </w:style>
  <w:style w:type="character" w:styleId="Lienhypertexte">
    <w:name w:val="Hyperlink"/>
    <w:basedOn w:val="Policepardfaut"/>
    <w:uiPriority w:val="99"/>
    <w:unhideWhenUsed/>
    <w:rsid w:val="00EF2DA8"/>
    <w:rPr>
      <w:color w:val="0000FF"/>
      <w:u w:val="single"/>
    </w:rPr>
  </w:style>
  <w:style w:type="character" w:styleId="Marquedecommentaire">
    <w:name w:val="annotation reference"/>
    <w:basedOn w:val="Policepardfaut"/>
    <w:uiPriority w:val="99"/>
    <w:unhideWhenUsed/>
    <w:rsid w:val="00945293"/>
    <w:rPr>
      <w:sz w:val="16"/>
      <w:szCs w:val="16"/>
    </w:rPr>
  </w:style>
  <w:style w:type="paragraph" w:styleId="Commentaire">
    <w:name w:val="annotation text"/>
    <w:aliases w:val="Comment Text Char1,Comment Text Char Car,Comment Text Char Car Car"/>
    <w:basedOn w:val="Normal"/>
    <w:link w:val="CommentaireCar"/>
    <w:uiPriority w:val="99"/>
    <w:unhideWhenUsed/>
    <w:rsid w:val="00945293"/>
    <w:pPr>
      <w:spacing w:line="240" w:lineRule="auto"/>
    </w:pPr>
    <w:rPr>
      <w:sz w:val="20"/>
      <w:szCs w:val="20"/>
    </w:rPr>
  </w:style>
  <w:style w:type="character" w:customStyle="1" w:styleId="CommentaireCar">
    <w:name w:val="Commentaire Car"/>
    <w:aliases w:val="Comment Text Char1 Car,Comment Text Char Car Car1,Comment Text Char Car Car Car"/>
    <w:basedOn w:val="Policepardfaut"/>
    <w:link w:val="Commentaire"/>
    <w:uiPriority w:val="99"/>
    <w:rsid w:val="00945293"/>
    <w:rPr>
      <w:sz w:val="20"/>
      <w:szCs w:val="20"/>
    </w:rPr>
  </w:style>
  <w:style w:type="paragraph" w:styleId="Objetducommentaire">
    <w:name w:val="annotation subject"/>
    <w:basedOn w:val="Commentaire"/>
    <w:next w:val="Commentaire"/>
    <w:link w:val="ObjetducommentaireCar"/>
    <w:uiPriority w:val="99"/>
    <w:semiHidden/>
    <w:unhideWhenUsed/>
    <w:rsid w:val="00945293"/>
    <w:rPr>
      <w:b/>
      <w:bCs/>
    </w:rPr>
  </w:style>
  <w:style w:type="character" w:customStyle="1" w:styleId="ObjetducommentaireCar">
    <w:name w:val="Objet du commentaire Car"/>
    <w:basedOn w:val="CommentaireCar"/>
    <w:link w:val="Objetducommentaire"/>
    <w:uiPriority w:val="99"/>
    <w:semiHidden/>
    <w:rsid w:val="00945293"/>
    <w:rPr>
      <w:b/>
      <w:bCs/>
      <w:sz w:val="20"/>
      <w:szCs w:val="20"/>
    </w:rPr>
  </w:style>
  <w:style w:type="table" w:styleId="Grilledutableau">
    <w:name w:val="Table Grid"/>
    <w:basedOn w:val="TableauNormal"/>
    <w:uiPriority w:val="39"/>
    <w:rsid w:val="0011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2B62CF"/>
  </w:style>
  <w:style w:type="paragraph" w:customStyle="1" w:styleId="StyleA">
    <w:name w:val="StyleA"/>
    <w:basedOn w:val="Paragraphedeliste"/>
    <w:link w:val="StyleACar"/>
    <w:qFormat/>
    <w:rsid w:val="00DD33D0"/>
    <w:pPr>
      <w:numPr>
        <w:numId w:val="1"/>
      </w:numPr>
    </w:pPr>
    <w:rPr>
      <w:sz w:val="32"/>
      <w:szCs w:val="32"/>
    </w:rPr>
  </w:style>
  <w:style w:type="paragraph" w:customStyle="1" w:styleId="Style2">
    <w:name w:val="Style2"/>
    <w:basedOn w:val="Paragraphedeliste"/>
    <w:link w:val="Style2Car"/>
    <w:qFormat/>
    <w:rsid w:val="00F4485B"/>
    <w:pPr>
      <w:numPr>
        <w:numId w:val="2"/>
      </w:numPr>
      <w:jc w:val="both"/>
    </w:pPr>
    <w:rPr>
      <w:b/>
      <w:bCs/>
    </w:rPr>
  </w:style>
  <w:style w:type="character" w:customStyle="1" w:styleId="StyleACar">
    <w:name w:val="StyleA Car"/>
    <w:basedOn w:val="ParagraphedelisteCar"/>
    <w:link w:val="StyleA"/>
    <w:rsid w:val="00DD33D0"/>
    <w:rPr>
      <w:sz w:val="32"/>
      <w:szCs w:val="32"/>
    </w:rPr>
  </w:style>
  <w:style w:type="character" w:customStyle="1" w:styleId="Titre1Car">
    <w:name w:val="Titre 1 Car"/>
    <w:basedOn w:val="Policepardfaut"/>
    <w:link w:val="Titre1"/>
    <w:rsid w:val="008B571E"/>
    <w:rPr>
      <w:b/>
      <w:bCs/>
      <w:sz w:val="36"/>
      <w:szCs w:val="36"/>
    </w:rPr>
  </w:style>
  <w:style w:type="character" w:customStyle="1" w:styleId="Style2Car">
    <w:name w:val="Style2 Car"/>
    <w:basedOn w:val="ParagraphedelisteCar"/>
    <w:link w:val="Style2"/>
    <w:rsid w:val="00F4485B"/>
    <w:rPr>
      <w:b/>
      <w:bCs/>
    </w:rPr>
  </w:style>
  <w:style w:type="paragraph" w:styleId="En-ttedetabledesmatires">
    <w:name w:val="TOC Heading"/>
    <w:basedOn w:val="Titre1"/>
    <w:next w:val="Normal"/>
    <w:uiPriority w:val="39"/>
    <w:unhideWhenUsed/>
    <w:qFormat/>
    <w:rsid w:val="007A473F"/>
    <w:pPr>
      <w:outlineLvl w:val="9"/>
    </w:pPr>
    <w:rPr>
      <w:lang w:eastAsia="fr-FR"/>
    </w:rPr>
  </w:style>
  <w:style w:type="paragraph" w:styleId="TM6">
    <w:name w:val="toc 6"/>
    <w:basedOn w:val="Normal"/>
    <w:next w:val="Normal"/>
    <w:autoRedefine/>
    <w:uiPriority w:val="39"/>
    <w:unhideWhenUsed/>
    <w:rsid w:val="007A473F"/>
    <w:pPr>
      <w:spacing w:after="100"/>
      <w:ind w:left="1100"/>
    </w:pPr>
  </w:style>
  <w:style w:type="paragraph" w:styleId="TM1">
    <w:name w:val="toc 1"/>
    <w:basedOn w:val="Normal"/>
    <w:next w:val="Normal"/>
    <w:autoRedefine/>
    <w:uiPriority w:val="39"/>
    <w:unhideWhenUsed/>
    <w:rsid w:val="0052337A"/>
    <w:pPr>
      <w:spacing w:after="100"/>
    </w:pPr>
  </w:style>
  <w:style w:type="paragraph" w:customStyle="1" w:styleId="doc-ti">
    <w:name w:val="doc-ti"/>
    <w:basedOn w:val="Normal"/>
    <w:rsid w:val="009B5E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aliases w:val="Footnotes,Fußnote"/>
    <w:basedOn w:val="Normal"/>
    <w:link w:val="NotedebasdepageCar"/>
    <w:unhideWhenUsed/>
    <w:rsid w:val="007C3018"/>
    <w:pPr>
      <w:spacing w:after="120" w:line="276" w:lineRule="auto"/>
      <w:jc w:val="both"/>
    </w:pPr>
    <w:rPr>
      <w:rFonts w:ascii="Calibri" w:eastAsia="Times New Roman" w:hAnsi="Calibri" w:cs="Times New Roman"/>
      <w:sz w:val="20"/>
      <w:szCs w:val="20"/>
      <w:lang w:bidi="en-US"/>
    </w:rPr>
  </w:style>
  <w:style w:type="character" w:customStyle="1" w:styleId="NotedebasdepageCar">
    <w:name w:val="Note de bas de page Car"/>
    <w:aliases w:val="Footnotes Car,Fußnote Car"/>
    <w:basedOn w:val="Policepardfaut"/>
    <w:link w:val="Notedebasdepage"/>
    <w:rsid w:val="007C3018"/>
    <w:rPr>
      <w:rFonts w:ascii="Calibri" w:eastAsia="Times New Roman" w:hAnsi="Calibri" w:cs="Times New Roman"/>
      <w:sz w:val="20"/>
      <w:szCs w:val="20"/>
      <w:lang w:bidi="en-US"/>
    </w:rPr>
  </w:style>
  <w:style w:type="character" w:styleId="Appelnotedebasdep">
    <w:name w:val="footnote reference"/>
    <w:unhideWhenUsed/>
    <w:rsid w:val="007C3018"/>
    <w:rPr>
      <w:vertAlign w:val="superscript"/>
    </w:rPr>
  </w:style>
  <w:style w:type="character" w:customStyle="1" w:styleId="StyleNoir">
    <w:name w:val="Style Noir"/>
    <w:uiPriority w:val="99"/>
    <w:rsid w:val="00BF38A4"/>
    <w:rPr>
      <w:rFonts w:ascii="Arial" w:hAnsi="Arial"/>
      <w:color w:val="000000"/>
      <w:sz w:val="20"/>
    </w:rPr>
  </w:style>
  <w:style w:type="character" w:customStyle="1" w:styleId="Titre4Car">
    <w:name w:val="Titre 4 Car"/>
    <w:basedOn w:val="Policepardfaut"/>
    <w:link w:val="Titre4"/>
    <w:uiPriority w:val="9"/>
    <w:rsid w:val="005C01D4"/>
    <w:rPr>
      <w:rFonts w:asciiTheme="majorHAnsi" w:eastAsiaTheme="majorEastAsia" w:hAnsiTheme="majorHAnsi" w:cstheme="majorBidi"/>
      <w:i/>
      <w:iCs/>
      <w:color w:val="2F5496" w:themeColor="accent1" w:themeShade="BF"/>
    </w:rPr>
  </w:style>
  <w:style w:type="paragraph" w:customStyle="1" w:styleId="CarCar">
    <w:name w:val="Car Car"/>
    <w:basedOn w:val="Normal"/>
    <w:rsid w:val="007D314B"/>
    <w:pPr>
      <w:spacing w:before="120" w:line="240" w:lineRule="exact"/>
      <w:jc w:val="both"/>
    </w:pPr>
    <w:rPr>
      <w:rFonts w:ascii="Tahoma" w:eastAsia="Times New Roman" w:hAnsi="Tahoma" w:cs="Tahoma"/>
      <w:sz w:val="20"/>
      <w:szCs w:val="20"/>
      <w:lang w:val="en-US"/>
    </w:rPr>
  </w:style>
  <w:style w:type="paragraph" w:styleId="Pieddepage">
    <w:name w:val="footer"/>
    <w:basedOn w:val="Normal"/>
    <w:link w:val="PieddepageCar"/>
    <w:uiPriority w:val="99"/>
    <w:unhideWhenUsed/>
    <w:rsid w:val="00DC3A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3AFF"/>
  </w:style>
  <w:style w:type="character" w:styleId="Numrodepage">
    <w:name w:val="page number"/>
    <w:basedOn w:val="Policepardfaut"/>
    <w:uiPriority w:val="99"/>
    <w:semiHidden/>
    <w:unhideWhenUsed/>
    <w:rsid w:val="00DC3AFF"/>
  </w:style>
  <w:style w:type="paragraph" w:styleId="En-tte">
    <w:name w:val="header"/>
    <w:basedOn w:val="Normal"/>
    <w:link w:val="En-tteCar"/>
    <w:uiPriority w:val="99"/>
    <w:unhideWhenUsed/>
    <w:rsid w:val="00F76A83"/>
    <w:pPr>
      <w:tabs>
        <w:tab w:val="center" w:pos="4536"/>
        <w:tab w:val="right" w:pos="9072"/>
      </w:tabs>
      <w:spacing w:after="0" w:line="240" w:lineRule="auto"/>
    </w:pPr>
  </w:style>
  <w:style w:type="character" w:customStyle="1" w:styleId="En-tteCar">
    <w:name w:val="En-tête Car"/>
    <w:basedOn w:val="Policepardfaut"/>
    <w:link w:val="En-tte"/>
    <w:uiPriority w:val="99"/>
    <w:rsid w:val="00F76A83"/>
  </w:style>
  <w:style w:type="paragraph" w:styleId="TM2">
    <w:name w:val="toc 2"/>
    <w:basedOn w:val="Normal"/>
    <w:next w:val="Normal"/>
    <w:autoRedefine/>
    <w:uiPriority w:val="39"/>
    <w:unhideWhenUsed/>
    <w:rsid w:val="00DE328B"/>
    <w:pPr>
      <w:spacing w:after="0"/>
      <w:ind w:left="220"/>
    </w:pPr>
    <w:rPr>
      <w:rFonts w:cstheme="minorHAnsi"/>
      <w:smallCaps/>
      <w:sz w:val="20"/>
      <w:szCs w:val="20"/>
    </w:rPr>
  </w:style>
  <w:style w:type="paragraph" w:styleId="TM3">
    <w:name w:val="toc 3"/>
    <w:basedOn w:val="Normal"/>
    <w:next w:val="Normal"/>
    <w:autoRedefine/>
    <w:uiPriority w:val="39"/>
    <w:unhideWhenUsed/>
    <w:rsid w:val="00DE328B"/>
    <w:pPr>
      <w:spacing w:after="0"/>
      <w:ind w:left="440"/>
    </w:pPr>
    <w:rPr>
      <w:rFonts w:cstheme="minorHAnsi"/>
      <w:i/>
      <w:iCs/>
      <w:sz w:val="20"/>
      <w:szCs w:val="20"/>
    </w:rPr>
  </w:style>
  <w:style w:type="paragraph" w:styleId="TM4">
    <w:name w:val="toc 4"/>
    <w:basedOn w:val="Normal"/>
    <w:next w:val="Normal"/>
    <w:autoRedefine/>
    <w:uiPriority w:val="39"/>
    <w:unhideWhenUsed/>
    <w:rsid w:val="00DE328B"/>
    <w:pPr>
      <w:spacing w:after="0"/>
      <w:ind w:left="660"/>
    </w:pPr>
    <w:rPr>
      <w:rFonts w:cstheme="minorHAnsi"/>
      <w:sz w:val="18"/>
      <w:szCs w:val="18"/>
    </w:rPr>
  </w:style>
  <w:style w:type="paragraph" w:styleId="TM5">
    <w:name w:val="toc 5"/>
    <w:basedOn w:val="Normal"/>
    <w:next w:val="Normal"/>
    <w:autoRedefine/>
    <w:uiPriority w:val="39"/>
    <w:unhideWhenUsed/>
    <w:rsid w:val="00DE328B"/>
    <w:pPr>
      <w:spacing w:after="0"/>
      <w:ind w:left="880"/>
    </w:pPr>
    <w:rPr>
      <w:rFonts w:cstheme="minorHAnsi"/>
      <w:sz w:val="18"/>
      <w:szCs w:val="18"/>
    </w:rPr>
  </w:style>
  <w:style w:type="paragraph" w:styleId="TM7">
    <w:name w:val="toc 7"/>
    <w:basedOn w:val="Normal"/>
    <w:next w:val="Normal"/>
    <w:autoRedefine/>
    <w:uiPriority w:val="39"/>
    <w:unhideWhenUsed/>
    <w:rsid w:val="00DE328B"/>
    <w:pPr>
      <w:spacing w:after="0"/>
      <w:ind w:left="1320"/>
    </w:pPr>
    <w:rPr>
      <w:rFonts w:cstheme="minorHAnsi"/>
      <w:sz w:val="18"/>
      <w:szCs w:val="18"/>
    </w:rPr>
  </w:style>
  <w:style w:type="paragraph" w:styleId="TM8">
    <w:name w:val="toc 8"/>
    <w:basedOn w:val="Normal"/>
    <w:next w:val="Normal"/>
    <w:autoRedefine/>
    <w:uiPriority w:val="39"/>
    <w:unhideWhenUsed/>
    <w:rsid w:val="00DE328B"/>
    <w:pPr>
      <w:spacing w:after="0"/>
      <w:ind w:left="1540"/>
    </w:pPr>
    <w:rPr>
      <w:rFonts w:cstheme="minorHAnsi"/>
      <w:sz w:val="18"/>
      <w:szCs w:val="18"/>
    </w:rPr>
  </w:style>
  <w:style w:type="paragraph" w:styleId="TM9">
    <w:name w:val="toc 9"/>
    <w:basedOn w:val="Normal"/>
    <w:next w:val="Normal"/>
    <w:autoRedefine/>
    <w:uiPriority w:val="39"/>
    <w:unhideWhenUsed/>
    <w:rsid w:val="00DE328B"/>
    <w:pPr>
      <w:spacing w:after="0"/>
      <w:ind w:left="1760"/>
    </w:pPr>
    <w:rPr>
      <w:rFonts w:cstheme="minorHAnsi"/>
      <w:sz w:val="18"/>
      <w:szCs w:val="18"/>
    </w:rPr>
  </w:style>
  <w:style w:type="paragraph" w:styleId="Index1">
    <w:name w:val="index 1"/>
    <w:basedOn w:val="Normal"/>
    <w:next w:val="Normal"/>
    <w:autoRedefine/>
    <w:uiPriority w:val="99"/>
    <w:semiHidden/>
    <w:unhideWhenUsed/>
    <w:rsid w:val="00DE328B"/>
    <w:pPr>
      <w:spacing w:after="0" w:line="240" w:lineRule="auto"/>
      <w:ind w:left="220" w:hanging="220"/>
    </w:pPr>
  </w:style>
  <w:style w:type="paragraph" w:styleId="Index2">
    <w:name w:val="index 2"/>
    <w:basedOn w:val="Normal"/>
    <w:next w:val="Normal"/>
    <w:autoRedefine/>
    <w:uiPriority w:val="99"/>
    <w:semiHidden/>
    <w:unhideWhenUsed/>
    <w:rsid w:val="00DE328B"/>
    <w:pPr>
      <w:spacing w:after="0" w:line="240" w:lineRule="auto"/>
      <w:ind w:left="440" w:hanging="220"/>
    </w:pPr>
  </w:style>
  <w:style w:type="paragraph" w:styleId="Rvision">
    <w:name w:val="Revision"/>
    <w:hidden/>
    <w:uiPriority w:val="99"/>
    <w:semiHidden/>
    <w:rsid w:val="00E15C12"/>
    <w:pPr>
      <w:spacing w:after="0" w:line="240" w:lineRule="auto"/>
    </w:pPr>
  </w:style>
  <w:style w:type="character" w:styleId="Lienhypertextesuivivisit">
    <w:name w:val="FollowedHyperlink"/>
    <w:basedOn w:val="Policepardfaut"/>
    <w:uiPriority w:val="99"/>
    <w:semiHidden/>
    <w:unhideWhenUsed/>
    <w:rsid w:val="00735F1A"/>
    <w:rPr>
      <w:color w:val="954F72" w:themeColor="followedHyperlink"/>
      <w:u w:val="single"/>
    </w:rPr>
  </w:style>
  <w:style w:type="character" w:styleId="Mentionnonrsolue">
    <w:name w:val="Unresolved Mention"/>
    <w:basedOn w:val="Policepardfaut"/>
    <w:uiPriority w:val="99"/>
    <w:semiHidden/>
    <w:unhideWhenUsed/>
    <w:rsid w:val="004D7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9164">
      <w:bodyDiv w:val="1"/>
      <w:marLeft w:val="0"/>
      <w:marRight w:val="0"/>
      <w:marTop w:val="0"/>
      <w:marBottom w:val="0"/>
      <w:divBdr>
        <w:top w:val="none" w:sz="0" w:space="0" w:color="auto"/>
        <w:left w:val="none" w:sz="0" w:space="0" w:color="auto"/>
        <w:bottom w:val="none" w:sz="0" w:space="0" w:color="auto"/>
        <w:right w:val="none" w:sz="0" w:space="0" w:color="auto"/>
      </w:divBdr>
    </w:div>
    <w:div w:id="175190089">
      <w:bodyDiv w:val="1"/>
      <w:marLeft w:val="0"/>
      <w:marRight w:val="0"/>
      <w:marTop w:val="0"/>
      <w:marBottom w:val="0"/>
      <w:divBdr>
        <w:top w:val="none" w:sz="0" w:space="0" w:color="auto"/>
        <w:left w:val="none" w:sz="0" w:space="0" w:color="auto"/>
        <w:bottom w:val="none" w:sz="0" w:space="0" w:color="auto"/>
        <w:right w:val="none" w:sz="0" w:space="0" w:color="auto"/>
      </w:divBdr>
      <w:divsChild>
        <w:div w:id="873348369">
          <w:marLeft w:val="1166"/>
          <w:marRight w:val="0"/>
          <w:marTop w:val="0"/>
          <w:marBottom w:val="0"/>
          <w:divBdr>
            <w:top w:val="none" w:sz="0" w:space="0" w:color="auto"/>
            <w:left w:val="none" w:sz="0" w:space="0" w:color="auto"/>
            <w:bottom w:val="none" w:sz="0" w:space="0" w:color="auto"/>
            <w:right w:val="none" w:sz="0" w:space="0" w:color="auto"/>
          </w:divBdr>
        </w:div>
        <w:div w:id="1319265521">
          <w:marLeft w:val="1166"/>
          <w:marRight w:val="0"/>
          <w:marTop w:val="0"/>
          <w:marBottom w:val="0"/>
          <w:divBdr>
            <w:top w:val="none" w:sz="0" w:space="0" w:color="auto"/>
            <w:left w:val="none" w:sz="0" w:space="0" w:color="auto"/>
            <w:bottom w:val="none" w:sz="0" w:space="0" w:color="auto"/>
            <w:right w:val="none" w:sz="0" w:space="0" w:color="auto"/>
          </w:divBdr>
        </w:div>
        <w:div w:id="1601915901">
          <w:marLeft w:val="547"/>
          <w:marRight w:val="0"/>
          <w:marTop w:val="0"/>
          <w:marBottom w:val="0"/>
          <w:divBdr>
            <w:top w:val="none" w:sz="0" w:space="0" w:color="auto"/>
            <w:left w:val="none" w:sz="0" w:space="0" w:color="auto"/>
            <w:bottom w:val="none" w:sz="0" w:space="0" w:color="auto"/>
            <w:right w:val="none" w:sz="0" w:space="0" w:color="auto"/>
          </w:divBdr>
        </w:div>
      </w:divsChild>
    </w:div>
    <w:div w:id="257176680">
      <w:bodyDiv w:val="1"/>
      <w:marLeft w:val="0"/>
      <w:marRight w:val="0"/>
      <w:marTop w:val="0"/>
      <w:marBottom w:val="0"/>
      <w:divBdr>
        <w:top w:val="none" w:sz="0" w:space="0" w:color="auto"/>
        <w:left w:val="none" w:sz="0" w:space="0" w:color="auto"/>
        <w:bottom w:val="none" w:sz="0" w:space="0" w:color="auto"/>
        <w:right w:val="none" w:sz="0" w:space="0" w:color="auto"/>
      </w:divBdr>
    </w:div>
    <w:div w:id="285238083">
      <w:bodyDiv w:val="1"/>
      <w:marLeft w:val="0"/>
      <w:marRight w:val="0"/>
      <w:marTop w:val="0"/>
      <w:marBottom w:val="0"/>
      <w:divBdr>
        <w:top w:val="none" w:sz="0" w:space="0" w:color="auto"/>
        <w:left w:val="none" w:sz="0" w:space="0" w:color="auto"/>
        <w:bottom w:val="none" w:sz="0" w:space="0" w:color="auto"/>
        <w:right w:val="none" w:sz="0" w:space="0" w:color="auto"/>
      </w:divBdr>
    </w:div>
    <w:div w:id="445932035">
      <w:bodyDiv w:val="1"/>
      <w:marLeft w:val="0"/>
      <w:marRight w:val="0"/>
      <w:marTop w:val="0"/>
      <w:marBottom w:val="0"/>
      <w:divBdr>
        <w:top w:val="none" w:sz="0" w:space="0" w:color="auto"/>
        <w:left w:val="none" w:sz="0" w:space="0" w:color="auto"/>
        <w:bottom w:val="none" w:sz="0" w:space="0" w:color="auto"/>
        <w:right w:val="none" w:sz="0" w:space="0" w:color="auto"/>
      </w:divBdr>
      <w:divsChild>
        <w:div w:id="856504699">
          <w:marLeft w:val="0"/>
          <w:marRight w:val="0"/>
          <w:marTop w:val="0"/>
          <w:marBottom w:val="0"/>
          <w:divBdr>
            <w:top w:val="none" w:sz="0" w:space="0" w:color="auto"/>
            <w:left w:val="none" w:sz="0" w:space="0" w:color="auto"/>
            <w:bottom w:val="none" w:sz="0" w:space="0" w:color="auto"/>
            <w:right w:val="none" w:sz="0" w:space="0" w:color="auto"/>
          </w:divBdr>
        </w:div>
        <w:div w:id="1276064592">
          <w:marLeft w:val="0"/>
          <w:marRight w:val="0"/>
          <w:marTop w:val="0"/>
          <w:marBottom w:val="0"/>
          <w:divBdr>
            <w:top w:val="none" w:sz="0" w:space="0" w:color="auto"/>
            <w:left w:val="none" w:sz="0" w:space="0" w:color="auto"/>
            <w:bottom w:val="none" w:sz="0" w:space="0" w:color="auto"/>
            <w:right w:val="none" w:sz="0" w:space="0" w:color="auto"/>
          </w:divBdr>
        </w:div>
      </w:divsChild>
    </w:div>
    <w:div w:id="687364743">
      <w:bodyDiv w:val="1"/>
      <w:marLeft w:val="0"/>
      <w:marRight w:val="0"/>
      <w:marTop w:val="0"/>
      <w:marBottom w:val="0"/>
      <w:divBdr>
        <w:top w:val="none" w:sz="0" w:space="0" w:color="auto"/>
        <w:left w:val="none" w:sz="0" w:space="0" w:color="auto"/>
        <w:bottom w:val="none" w:sz="0" w:space="0" w:color="auto"/>
        <w:right w:val="none" w:sz="0" w:space="0" w:color="auto"/>
      </w:divBdr>
    </w:div>
    <w:div w:id="8534995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85">
          <w:marLeft w:val="274"/>
          <w:marRight w:val="0"/>
          <w:marTop w:val="150"/>
          <w:marBottom w:val="0"/>
          <w:divBdr>
            <w:top w:val="none" w:sz="0" w:space="0" w:color="auto"/>
            <w:left w:val="none" w:sz="0" w:space="0" w:color="auto"/>
            <w:bottom w:val="none" w:sz="0" w:space="0" w:color="auto"/>
            <w:right w:val="none" w:sz="0" w:space="0" w:color="auto"/>
          </w:divBdr>
        </w:div>
        <w:div w:id="503976630">
          <w:marLeft w:val="274"/>
          <w:marRight w:val="0"/>
          <w:marTop w:val="150"/>
          <w:marBottom w:val="0"/>
          <w:divBdr>
            <w:top w:val="none" w:sz="0" w:space="0" w:color="auto"/>
            <w:left w:val="none" w:sz="0" w:space="0" w:color="auto"/>
            <w:bottom w:val="none" w:sz="0" w:space="0" w:color="auto"/>
            <w:right w:val="none" w:sz="0" w:space="0" w:color="auto"/>
          </w:divBdr>
        </w:div>
        <w:div w:id="1557740645">
          <w:marLeft w:val="274"/>
          <w:marRight w:val="0"/>
          <w:marTop w:val="150"/>
          <w:marBottom w:val="0"/>
          <w:divBdr>
            <w:top w:val="none" w:sz="0" w:space="0" w:color="auto"/>
            <w:left w:val="none" w:sz="0" w:space="0" w:color="auto"/>
            <w:bottom w:val="none" w:sz="0" w:space="0" w:color="auto"/>
            <w:right w:val="none" w:sz="0" w:space="0" w:color="auto"/>
          </w:divBdr>
        </w:div>
        <w:div w:id="1570117487">
          <w:marLeft w:val="274"/>
          <w:marRight w:val="0"/>
          <w:marTop w:val="150"/>
          <w:marBottom w:val="0"/>
          <w:divBdr>
            <w:top w:val="none" w:sz="0" w:space="0" w:color="auto"/>
            <w:left w:val="none" w:sz="0" w:space="0" w:color="auto"/>
            <w:bottom w:val="none" w:sz="0" w:space="0" w:color="auto"/>
            <w:right w:val="none" w:sz="0" w:space="0" w:color="auto"/>
          </w:divBdr>
        </w:div>
        <w:div w:id="2039159540">
          <w:marLeft w:val="274"/>
          <w:marRight w:val="0"/>
          <w:marTop w:val="150"/>
          <w:marBottom w:val="0"/>
          <w:divBdr>
            <w:top w:val="none" w:sz="0" w:space="0" w:color="auto"/>
            <w:left w:val="none" w:sz="0" w:space="0" w:color="auto"/>
            <w:bottom w:val="none" w:sz="0" w:space="0" w:color="auto"/>
            <w:right w:val="none" w:sz="0" w:space="0" w:color="auto"/>
          </w:divBdr>
        </w:div>
      </w:divsChild>
    </w:div>
    <w:div w:id="924653398">
      <w:bodyDiv w:val="1"/>
      <w:marLeft w:val="0"/>
      <w:marRight w:val="0"/>
      <w:marTop w:val="0"/>
      <w:marBottom w:val="0"/>
      <w:divBdr>
        <w:top w:val="none" w:sz="0" w:space="0" w:color="auto"/>
        <w:left w:val="none" w:sz="0" w:space="0" w:color="auto"/>
        <w:bottom w:val="none" w:sz="0" w:space="0" w:color="auto"/>
        <w:right w:val="none" w:sz="0" w:space="0" w:color="auto"/>
      </w:divBdr>
    </w:div>
    <w:div w:id="997878926">
      <w:bodyDiv w:val="1"/>
      <w:marLeft w:val="0"/>
      <w:marRight w:val="0"/>
      <w:marTop w:val="0"/>
      <w:marBottom w:val="0"/>
      <w:divBdr>
        <w:top w:val="none" w:sz="0" w:space="0" w:color="auto"/>
        <w:left w:val="none" w:sz="0" w:space="0" w:color="auto"/>
        <w:bottom w:val="none" w:sz="0" w:space="0" w:color="auto"/>
        <w:right w:val="none" w:sz="0" w:space="0" w:color="auto"/>
      </w:divBdr>
      <w:divsChild>
        <w:div w:id="343557400">
          <w:marLeft w:val="547"/>
          <w:marRight w:val="0"/>
          <w:marTop w:val="0"/>
          <w:marBottom w:val="0"/>
          <w:divBdr>
            <w:top w:val="none" w:sz="0" w:space="0" w:color="auto"/>
            <w:left w:val="none" w:sz="0" w:space="0" w:color="auto"/>
            <w:bottom w:val="none" w:sz="0" w:space="0" w:color="auto"/>
            <w:right w:val="none" w:sz="0" w:space="0" w:color="auto"/>
          </w:divBdr>
        </w:div>
      </w:divsChild>
    </w:div>
    <w:div w:id="1033918308">
      <w:bodyDiv w:val="1"/>
      <w:marLeft w:val="0"/>
      <w:marRight w:val="0"/>
      <w:marTop w:val="0"/>
      <w:marBottom w:val="0"/>
      <w:divBdr>
        <w:top w:val="none" w:sz="0" w:space="0" w:color="auto"/>
        <w:left w:val="none" w:sz="0" w:space="0" w:color="auto"/>
        <w:bottom w:val="none" w:sz="0" w:space="0" w:color="auto"/>
        <w:right w:val="none" w:sz="0" w:space="0" w:color="auto"/>
      </w:divBdr>
    </w:div>
    <w:div w:id="1095056148">
      <w:bodyDiv w:val="1"/>
      <w:marLeft w:val="0"/>
      <w:marRight w:val="0"/>
      <w:marTop w:val="0"/>
      <w:marBottom w:val="0"/>
      <w:divBdr>
        <w:top w:val="none" w:sz="0" w:space="0" w:color="auto"/>
        <w:left w:val="none" w:sz="0" w:space="0" w:color="auto"/>
        <w:bottom w:val="none" w:sz="0" w:space="0" w:color="auto"/>
        <w:right w:val="none" w:sz="0" w:space="0" w:color="auto"/>
      </w:divBdr>
    </w:div>
    <w:div w:id="1234268442">
      <w:bodyDiv w:val="1"/>
      <w:marLeft w:val="0"/>
      <w:marRight w:val="0"/>
      <w:marTop w:val="0"/>
      <w:marBottom w:val="0"/>
      <w:divBdr>
        <w:top w:val="none" w:sz="0" w:space="0" w:color="auto"/>
        <w:left w:val="none" w:sz="0" w:space="0" w:color="auto"/>
        <w:bottom w:val="none" w:sz="0" w:space="0" w:color="auto"/>
        <w:right w:val="none" w:sz="0" w:space="0" w:color="auto"/>
      </w:divBdr>
      <w:divsChild>
        <w:div w:id="1044327724">
          <w:marLeft w:val="1166"/>
          <w:marRight w:val="0"/>
          <w:marTop w:val="0"/>
          <w:marBottom w:val="0"/>
          <w:divBdr>
            <w:top w:val="none" w:sz="0" w:space="0" w:color="auto"/>
            <w:left w:val="none" w:sz="0" w:space="0" w:color="auto"/>
            <w:bottom w:val="none" w:sz="0" w:space="0" w:color="auto"/>
            <w:right w:val="none" w:sz="0" w:space="0" w:color="auto"/>
          </w:divBdr>
        </w:div>
        <w:div w:id="1907378923">
          <w:marLeft w:val="1166"/>
          <w:marRight w:val="0"/>
          <w:marTop w:val="0"/>
          <w:marBottom w:val="0"/>
          <w:divBdr>
            <w:top w:val="none" w:sz="0" w:space="0" w:color="auto"/>
            <w:left w:val="none" w:sz="0" w:space="0" w:color="auto"/>
            <w:bottom w:val="none" w:sz="0" w:space="0" w:color="auto"/>
            <w:right w:val="none" w:sz="0" w:space="0" w:color="auto"/>
          </w:divBdr>
        </w:div>
        <w:div w:id="1942177488">
          <w:marLeft w:val="547"/>
          <w:marRight w:val="0"/>
          <w:marTop w:val="0"/>
          <w:marBottom w:val="0"/>
          <w:divBdr>
            <w:top w:val="none" w:sz="0" w:space="0" w:color="auto"/>
            <w:left w:val="none" w:sz="0" w:space="0" w:color="auto"/>
            <w:bottom w:val="none" w:sz="0" w:space="0" w:color="auto"/>
            <w:right w:val="none" w:sz="0" w:space="0" w:color="auto"/>
          </w:divBdr>
        </w:div>
      </w:divsChild>
    </w:div>
    <w:div w:id="1237201125">
      <w:bodyDiv w:val="1"/>
      <w:marLeft w:val="0"/>
      <w:marRight w:val="0"/>
      <w:marTop w:val="0"/>
      <w:marBottom w:val="0"/>
      <w:divBdr>
        <w:top w:val="none" w:sz="0" w:space="0" w:color="auto"/>
        <w:left w:val="none" w:sz="0" w:space="0" w:color="auto"/>
        <w:bottom w:val="none" w:sz="0" w:space="0" w:color="auto"/>
        <w:right w:val="none" w:sz="0" w:space="0" w:color="auto"/>
      </w:divBdr>
    </w:div>
    <w:div w:id="1574271002">
      <w:bodyDiv w:val="1"/>
      <w:marLeft w:val="0"/>
      <w:marRight w:val="0"/>
      <w:marTop w:val="0"/>
      <w:marBottom w:val="0"/>
      <w:divBdr>
        <w:top w:val="none" w:sz="0" w:space="0" w:color="auto"/>
        <w:left w:val="none" w:sz="0" w:space="0" w:color="auto"/>
        <w:bottom w:val="none" w:sz="0" w:space="0" w:color="auto"/>
        <w:right w:val="none" w:sz="0" w:space="0" w:color="auto"/>
      </w:divBdr>
    </w:div>
    <w:div w:id="1590458280">
      <w:bodyDiv w:val="1"/>
      <w:marLeft w:val="0"/>
      <w:marRight w:val="0"/>
      <w:marTop w:val="0"/>
      <w:marBottom w:val="0"/>
      <w:divBdr>
        <w:top w:val="none" w:sz="0" w:space="0" w:color="auto"/>
        <w:left w:val="none" w:sz="0" w:space="0" w:color="auto"/>
        <w:bottom w:val="none" w:sz="0" w:space="0" w:color="auto"/>
        <w:right w:val="none" w:sz="0" w:space="0" w:color="auto"/>
      </w:divBdr>
    </w:div>
    <w:div w:id="1744987402">
      <w:bodyDiv w:val="1"/>
      <w:marLeft w:val="0"/>
      <w:marRight w:val="0"/>
      <w:marTop w:val="0"/>
      <w:marBottom w:val="0"/>
      <w:divBdr>
        <w:top w:val="none" w:sz="0" w:space="0" w:color="auto"/>
        <w:left w:val="none" w:sz="0" w:space="0" w:color="auto"/>
        <w:bottom w:val="none" w:sz="0" w:space="0" w:color="auto"/>
        <w:right w:val="none" w:sz="0" w:space="0" w:color="auto"/>
      </w:divBdr>
    </w:div>
    <w:div w:id="1808357372">
      <w:bodyDiv w:val="1"/>
      <w:marLeft w:val="0"/>
      <w:marRight w:val="0"/>
      <w:marTop w:val="0"/>
      <w:marBottom w:val="0"/>
      <w:divBdr>
        <w:top w:val="none" w:sz="0" w:space="0" w:color="auto"/>
        <w:left w:val="none" w:sz="0" w:space="0" w:color="auto"/>
        <w:bottom w:val="none" w:sz="0" w:space="0" w:color="auto"/>
        <w:right w:val="none" w:sz="0" w:space="0" w:color="auto"/>
      </w:divBdr>
    </w:div>
    <w:div w:id="1889143368">
      <w:bodyDiv w:val="1"/>
      <w:marLeft w:val="0"/>
      <w:marRight w:val="0"/>
      <w:marTop w:val="0"/>
      <w:marBottom w:val="0"/>
      <w:divBdr>
        <w:top w:val="none" w:sz="0" w:space="0" w:color="auto"/>
        <w:left w:val="none" w:sz="0" w:space="0" w:color="auto"/>
        <w:bottom w:val="none" w:sz="0" w:space="0" w:color="auto"/>
        <w:right w:val="none" w:sz="0" w:space="0" w:color="auto"/>
      </w:divBdr>
    </w:div>
    <w:div w:id="1993096231">
      <w:bodyDiv w:val="1"/>
      <w:marLeft w:val="0"/>
      <w:marRight w:val="0"/>
      <w:marTop w:val="0"/>
      <w:marBottom w:val="0"/>
      <w:divBdr>
        <w:top w:val="none" w:sz="0" w:space="0" w:color="auto"/>
        <w:left w:val="none" w:sz="0" w:space="0" w:color="auto"/>
        <w:bottom w:val="none" w:sz="0" w:space="0" w:color="auto"/>
        <w:right w:val="none" w:sz="0" w:space="0" w:color="auto"/>
      </w:divBdr>
      <w:divsChild>
        <w:div w:id="28579807">
          <w:marLeft w:val="720"/>
          <w:marRight w:val="0"/>
          <w:marTop w:val="106"/>
          <w:marBottom w:val="0"/>
          <w:divBdr>
            <w:top w:val="none" w:sz="0" w:space="0" w:color="auto"/>
            <w:left w:val="none" w:sz="0" w:space="0" w:color="auto"/>
            <w:bottom w:val="none" w:sz="0" w:space="0" w:color="auto"/>
            <w:right w:val="none" w:sz="0" w:space="0" w:color="auto"/>
          </w:divBdr>
        </w:div>
        <w:div w:id="76022755">
          <w:marLeft w:val="720"/>
          <w:marRight w:val="0"/>
          <w:marTop w:val="106"/>
          <w:marBottom w:val="0"/>
          <w:divBdr>
            <w:top w:val="none" w:sz="0" w:space="0" w:color="auto"/>
            <w:left w:val="none" w:sz="0" w:space="0" w:color="auto"/>
            <w:bottom w:val="none" w:sz="0" w:space="0" w:color="auto"/>
            <w:right w:val="none" w:sz="0" w:space="0" w:color="auto"/>
          </w:divBdr>
        </w:div>
        <w:div w:id="230582479">
          <w:marLeft w:val="720"/>
          <w:marRight w:val="0"/>
          <w:marTop w:val="106"/>
          <w:marBottom w:val="0"/>
          <w:divBdr>
            <w:top w:val="none" w:sz="0" w:space="0" w:color="auto"/>
            <w:left w:val="none" w:sz="0" w:space="0" w:color="auto"/>
            <w:bottom w:val="none" w:sz="0" w:space="0" w:color="auto"/>
            <w:right w:val="none" w:sz="0" w:space="0" w:color="auto"/>
          </w:divBdr>
        </w:div>
        <w:div w:id="335347844">
          <w:marLeft w:val="720"/>
          <w:marRight w:val="0"/>
          <w:marTop w:val="106"/>
          <w:marBottom w:val="0"/>
          <w:divBdr>
            <w:top w:val="none" w:sz="0" w:space="0" w:color="auto"/>
            <w:left w:val="none" w:sz="0" w:space="0" w:color="auto"/>
            <w:bottom w:val="none" w:sz="0" w:space="0" w:color="auto"/>
            <w:right w:val="none" w:sz="0" w:space="0" w:color="auto"/>
          </w:divBdr>
        </w:div>
        <w:div w:id="567497146">
          <w:marLeft w:val="720"/>
          <w:marRight w:val="0"/>
          <w:marTop w:val="106"/>
          <w:marBottom w:val="0"/>
          <w:divBdr>
            <w:top w:val="none" w:sz="0" w:space="0" w:color="auto"/>
            <w:left w:val="none" w:sz="0" w:space="0" w:color="auto"/>
            <w:bottom w:val="none" w:sz="0" w:space="0" w:color="auto"/>
            <w:right w:val="none" w:sz="0" w:space="0" w:color="auto"/>
          </w:divBdr>
        </w:div>
        <w:div w:id="1137186557">
          <w:marLeft w:val="720"/>
          <w:marRight w:val="0"/>
          <w:marTop w:val="106"/>
          <w:marBottom w:val="0"/>
          <w:divBdr>
            <w:top w:val="none" w:sz="0" w:space="0" w:color="auto"/>
            <w:left w:val="none" w:sz="0" w:space="0" w:color="auto"/>
            <w:bottom w:val="none" w:sz="0" w:space="0" w:color="auto"/>
            <w:right w:val="none" w:sz="0" w:space="0" w:color="auto"/>
          </w:divBdr>
        </w:div>
        <w:div w:id="1724862787">
          <w:marLeft w:val="720"/>
          <w:marRight w:val="0"/>
          <w:marTop w:val="106"/>
          <w:marBottom w:val="0"/>
          <w:divBdr>
            <w:top w:val="none" w:sz="0" w:space="0" w:color="auto"/>
            <w:left w:val="none" w:sz="0" w:space="0" w:color="auto"/>
            <w:bottom w:val="none" w:sz="0" w:space="0" w:color="auto"/>
            <w:right w:val="none" w:sz="0" w:space="0" w:color="auto"/>
          </w:divBdr>
        </w:div>
        <w:div w:id="1956135837">
          <w:marLeft w:val="720"/>
          <w:marRight w:val="0"/>
          <w:marTop w:val="106"/>
          <w:marBottom w:val="0"/>
          <w:divBdr>
            <w:top w:val="none" w:sz="0" w:space="0" w:color="auto"/>
            <w:left w:val="none" w:sz="0" w:space="0" w:color="auto"/>
            <w:bottom w:val="none" w:sz="0" w:space="0" w:color="auto"/>
            <w:right w:val="none" w:sz="0" w:space="0" w:color="auto"/>
          </w:divBdr>
        </w:div>
        <w:div w:id="2069955651">
          <w:marLeft w:val="720"/>
          <w:marRight w:val="0"/>
          <w:marTop w:val="106"/>
          <w:marBottom w:val="0"/>
          <w:divBdr>
            <w:top w:val="none" w:sz="0" w:space="0" w:color="auto"/>
            <w:left w:val="none" w:sz="0" w:space="0" w:color="auto"/>
            <w:bottom w:val="none" w:sz="0" w:space="0" w:color="auto"/>
            <w:right w:val="none" w:sz="0" w:space="0" w:color="auto"/>
          </w:divBdr>
        </w:div>
      </w:divsChild>
    </w:div>
    <w:div w:id="20509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me.fr/sites/default/files/assets/documents/ocpe_chiffres-cles_n2.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codes/article_lc/LEGIARTI000037704467/2019-04-0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6f3507-ca2e-4d0c-ade9-41d190b97e48">
      <UserInfo>
        <DisplayName>Olivier Ortega</DisplayName>
        <AccountId>15</AccountId>
        <AccountType/>
      </UserInfo>
    </SharedWithUsers>
    <lcf76f155ced4ddcb4097134ff3c332f xmlns="020534d5-d4e4-4464-b51b-4aeb2be623ae">
      <Terms xmlns="http://schemas.microsoft.com/office/infopath/2007/PartnerControls"/>
    </lcf76f155ced4ddcb4097134ff3c332f>
    <TaxCatchAll xmlns="6f6f3507-ca2e-4d0c-ade9-41d190b97e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F26DBD90F18B47B15460A64FB79E3C" ma:contentTypeVersion="16" ma:contentTypeDescription="Crée un document." ma:contentTypeScope="" ma:versionID="fe2a14ca6538500ca29924241ce155ff">
  <xsd:schema xmlns:xsd="http://www.w3.org/2001/XMLSchema" xmlns:xs="http://www.w3.org/2001/XMLSchema" xmlns:p="http://schemas.microsoft.com/office/2006/metadata/properties" xmlns:ns2="020534d5-d4e4-4464-b51b-4aeb2be623ae" xmlns:ns3="6f6f3507-ca2e-4d0c-ade9-41d190b97e48" targetNamespace="http://schemas.microsoft.com/office/2006/metadata/properties" ma:root="true" ma:fieldsID="47e27e54a5f52109fd9c4dae163b9558" ns2:_="" ns3:_="">
    <xsd:import namespace="020534d5-d4e4-4464-b51b-4aeb2be623ae"/>
    <xsd:import namespace="6f6f3507-ca2e-4d0c-ade9-41d190b97e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534d5-d4e4-4464-b51b-4aeb2be623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8914fd4-87b8-4af1-9a98-4b540cbed2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6f3507-ca2e-4d0c-ade9-41d190b97e4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00a0eb7-ef82-4780-9d49-ee877efd98a6}" ma:internalName="TaxCatchAll" ma:showField="CatchAllData" ma:web="6f6f3507-ca2e-4d0c-ade9-41d190b97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97E2E-1130-4F72-A25F-DB3FB73C2C4F}">
  <ds:schemaRefs>
    <ds:schemaRef ds:uri="http://schemas.microsoft.com/sharepoint/v3/contenttype/forms"/>
  </ds:schemaRefs>
</ds:datastoreItem>
</file>

<file path=customXml/itemProps2.xml><?xml version="1.0" encoding="utf-8"?>
<ds:datastoreItem xmlns:ds="http://schemas.openxmlformats.org/officeDocument/2006/customXml" ds:itemID="{C52054B3-DA77-45FB-9E72-16734051915A}">
  <ds:schemaRefs>
    <ds:schemaRef ds:uri="http://schemas.microsoft.com/office/2006/metadata/properties"/>
    <ds:schemaRef ds:uri="http://schemas.microsoft.com/office/infopath/2007/PartnerControls"/>
    <ds:schemaRef ds:uri="6f6f3507-ca2e-4d0c-ade9-41d190b97e48"/>
    <ds:schemaRef ds:uri="020534d5-d4e4-4464-b51b-4aeb2be623ae"/>
  </ds:schemaRefs>
</ds:datastoreItem>
</file>

<file path=customXml/itemProps3.xml><?xml version="1.0" encoding="utf-8"?>
<ds:datastoreItem xmlns:ds="http://schemas.openxmlformats.org/officeDocument/2006/customXml" ds:itemID="{B47FC384-C213-4617-A43E-76DB3EE6A86E}">
  <ds:schemaRefs>
    <ds:schemaRef ds:uri="http://schemas.openxmlformats.org/officeDocument/2006/bibliography"/>
  </ds:schemaRefs>
</ds:datastoreItem>
</file>

<file path=customXml/itemProps4.xml><?xml version="1.0" encoding="utf-8"?>
<ds:datastoreItem xmlns:ds="http://schemas.openxmlformats.org/officeDocument/2006/customXml" ds:itemID="{F8371434-83C3-43F2-8483-ABD8479E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534d5-d4e4-4464-b51b-4aeb2be623ae"/>
    <ds:schemaRef ds:uri="6f6f3507-ca2e-4d0c-ade9-41d190b97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43</Pages>
  <Words>18176</Words>
  <Characters>99972</Characters>
  <Application>Microsoft Office Word</Application>
  <DocSecurity>0</DocSecurity>
  <Lines>833</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CORDIER Tiphaine</dc:creator>
  <cp:keywords/>
  <dc:description/>
  <cp:lastModifiedBy>Olivier Ortega</cp:lastModifiedBy>
  <cp:revision>9</cp:revision>
  <dcterms:created xsi:type="dcterms:W3CDTF">2022-02-16T13:44:00Z</dcterms:created>
  <dcterms:modified xsi:type="dcterms:W3CDTF">2022-08-30T16:33:00Z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0x01010044F26DBD90F18B47B15460A64FB79E3C</vt:lpwstr>
  </property>
  <property fmtid="{D5CDD505-2E9C-101B-9397-08002B2CF9AE}" pid="3" name="MSIP_Label_c135c4ba-2280-41f8-be7d-6f21d368baa3_Enabled">
    <vt:lpwstr>true</vt:lpwstr>
  </property>
  <property fmtid="{D5CDD505-2E9C-101B-9397-08002B2CF9AE}" pid="4" name="MSIP_Label_c135c4ba-2280-41f8-be7d-6f21d368baa3_SetDate">
    <vt:lpwstr>2021-04-28T07:20:52Z</vt:lpwstr>
  </property>
  <property fmtid="{D5CDD505-2E9C-101B-9397-08002B2CF9AE}" pid="5" name="MSIP_Label_c135c4ba-2280-41f8-be7d-6f21d368baa3_Method">
    <vt:lpwstr>Standard</vt:lpwstr>
  </property>
  <property fmtid="{D5CDD505-2E9C-101B-9397-08002B2CF9AE}" pid="6" name="MSIP_Label_c135c4ba-2280-41f8-be7d-6f21d368baa3_Name">
    <vt:lpwstr>c135c4ba-2280-41f8-be7d-6f21d368baa3</vt:lpwstr>
  </property>
  <property fmtid="{D5CDD505-2E9C-101B-9397-08002B2CF9AE}" pid="7" name="MSIP_Label_c135c4ba-2280-41f8-be7d-6f21d368baa3_SiteId">
    <vt:lpwstr>24139d14-c62c-4c47-8bdd-ce71ea1d50cf</vt:lpwstr>
  </property>
  <property fmtid="{D5CDD505-2E9C-101B-9397-08002B2CF9AE}" pid="8" name="MSIP_Label_c135c4ba-2280-41f8-be7d-6f21d368baa3_ActionId">
    <vt:lpwstr>495c361c-eb19-4509-9d89-5c1b7891ab0a</vt:lpwstr>
  </property>
  <property fmtid="{D5CDD505-2E9C-101B-9397-08002B2CF9AE}" pid="9" name="MSIP_Label_c135c4ba-2280-41f8-be7d-6f21d368baa3_ContentBits">
    <vt:lpwstr>0</vt:lpwstr>
  </property>
  <property fmtid="{D5CDD505-2E9C-101B-9397-08002B2CF9AE}" pid="10" name="MediaServiceImageTags">
    <vt:lpwstr/>
  </property>
</Properties>
</file>