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FD6" w:rsidRPr="00B06EE2" w:rsidRDefault="00CF1FD6" w:rsidP="00505CDF">
      <w:pPr>
        <w:pStyle w:val="FicheTitre"/>
        <w:spacing w:before="720"/>
        <w:ind w:firstLine="0"/>
      </w:pPr>
      <w:bookmarkStart w:id="0" w:name="_GoBack"/>
      <w:bookmarkEnd w:id="0"/>
      <w:r w:rsidRPr="00B06EE2">
        <w:rPr>
          <w:rStyle w:val="Corpsdutexte22"/>
        </w:rPr>
        <w:t xml:space="preserve">FICHE </w:t>
      </w:r>
      <w:r w:rsidR="00227A1F">
        <w:rPr>
          <w:rStyle w:val="Corpsdutexte22"/>
        </w:rPr>
        <w:t>TECHNIQUE</w:t>
      </w:r>
    </w:p>
    <w:p w:rsidR="00CF1FD6" w:rsidRPr="00CF1FD6" w:rsidRDefault="008E0DAA" w:rsidP="00505CDF">
      <w:pPr>
        <w:pStyle w:val="Titre"/>
        <w:keepNext/>
        <w:keepLines/>
        <w:spacing w:before="480" w:after="720" w:line="300" w:lineRule="exact"/>
        <w:ind w:left="357"/>
        <w:jc w:val="both"/>
        <w:outlineLvl w:val="1"/>
        <w:rPr>
          <w:rFonts w:ascii="Candara" w:eastAsia="Arial Unicode MS" w:hAnsi="Candara" w:cs="Candara"/>
          <w:bCs w:val="0"/>
          <w:color w:val="7030A0"/>
          <w:kern w:val="0"/>
          <w:sz w:val="30"/>
          <w:szCs w:val="30"/>
          <w:lang w:eastAsia="en-US"/>
        </w:rPr>
      </w:pPr>
      <w:r w:rsidRPr="008E0DAA">
        <w:rPr>
          <w:rFonts w:ascii="Candara" w:eastAsia="Arial Unicode MS" w:hAnsi="Candara" w:cs="Candara"/>
          <w:bCs w:val="0"/>
          <w:color w:val="7030A0"/>
          <w:kern w:val="0"/>
          <w:sz w:val="30"/>
          <w:szCs w:val="30"/>
          <w:lang w:eastAsia="en-US"/>
        </w:rPr>
        <w:t>Les marchés publics confrontés à la flambée des prix et au risque de pénurie des matières premières</w:t>
      </w:r>
    </w:p>
    <w:p w:rsidR="008E0DAA" w:rsidRPr="008E0DAA" w:rsidRDefault="008E0DAA" w:rsidP="008E0DAA">
      <w:pPr>
        <w:tabs>
          <w:tab w:val="num" w:pos="720"/>
        </w:tabs>
        <w:spacing w:before="120" w:after="120"/>
        <w:jc w:val="both"/>
        <w:rPr>
          <w:rFonts w:ascii="Arial Narrow" w:hAnsi="Arial Narrow" w:cs="Arial"/>
          <w:bCs/>
          <w:sz w:val="17"/>
          <w:szCs w:val="17"/>
        </w:rPr>
      </w:pPr>
      <w:r w:rsidRPr="008E0DAA">
        <w:rPr>
          <w:rFonts w:ascii="Arial Narrow" w:hAnsi="Arial Narrow" w:cs="Arial"/>
          <w:bCs/>
          <w:sz w:val="17"/>
          <w:szCs w:val="17"/>
        </w:rPr>
        <w:t xml:space="preserve">Plusieurs secteurs économiques, notamment l’automobile, l’informatique, l’industrie agro-alimentaire, le bâtiment, la métallurgie, la chimie et le mobilier sont particulièrement touchés par des pénuries d’approvisionnement qui engendrent un renchérissement importants des coûts et un allongement des délais de livraison. </w:t>
      </w:r>
    </w:p>
    <w:p w:rsidR="001E238D" w:rsidRDefault="008E0DAA" w:rsidP="008E0DAA">
      <w:pPr>
        <w:tabs>
          <w:tab w:val="num" w:pos="720"/>
        </w:tabs>
        <w:spacing w:before="120" w:after="120"/>
        <w:jc w:val="both"/>
        <w:rPr>
          <w:rFonts w:ascii="Arial Narrow" w:hAnsi="Arial Narrow" w:cs="Arial"/>
          <w:bCs/>
          <w:sz w:val="17"/>
          <w:szCs w:val="17"/>
        </w:rPr>
      </w:pPr>
      <w:r w:rsidRPr="008E0DAA">
        <w:rPr>
          <w:rFonts w:ascii="Arial Narrow" w:hAnsi="Arial Narrow" w:cs="Arial"/>
          <w:bCs/>
          <w:sz w:val="17"/>
          <w:szCs w:val="17"/>
        </w:rPr>
        <w:t>Dans ce contexte,</w:t>
      </w:r>
      <w:r w:rsidR="001E238D">
        <w:rPr>
          <w:rFonts w:ascii="Arial Narrow" w:hAnsi="Arial Narrow" w:cs="Arial"/>
          <w:bCs/>
          <w:sz w:val="17"/>
          <w:szCs w:val="17"/>
        </w:rPr>
        <w:t xml:space="preserve"> pour les difficultés rencontrées dans le cadre des contrats en cours d’exécution (I), </w:t>
      </w:r>
      <w:r w:rsidR="001E238D" w:rsidRPr="008E0DAA">
        <w:rPr>
          <w:rFonts w:ascii="Arial Narrow" w:hAnsi="Arial Narrow" w:cs="Arial"/>
          <w:bCs/>
          <w:sz w:val="17"/>
          <w:szCs w:val="17"/>
        </w:rPr>
        <w:t>les acheteurs peuvent mettre en œuvre des mesures visant à adapter les modalités d’exécution des marchés pour ne pas pénaliser les entreprises ne pouvant respecter les délais contractuels (I.1). Si les conséquences de l’envolée du cours des matières premières ne peuvent être neutralisées par la clause de révision de prix prévue contractuellement, le caractère intangible du prix fait obstacle à toute modification ultérieure du prix du marché et seule une indemnisation des titulaires sur le fondement de la théorie de l’imprévision est envisageable sous conditions (I.2).</w:t>
      </w:r>
    </w:p>
    <w:p w:rsidR="001E238D" w:rsidRDefault="001E238D" w:rsidP="008E0DAA">
      <w:pPr>
        <w:tabs>
          <w:tab w:val="num" w:pos="720"/>
        </w:tabs>
        <w:spacing w:before="120" w:after="120"/>
        <w:jc w:val="both"/>
        <w:rPr>
          <w:rFonts w:ascii="Arial Narrow" w:hAnsi="Arial Narrow" w:cs="Arial"/>
          <w:bCs/>
          <w:sz w:val="17"/>
          <w:szCs w:val="17"/>
        </w:rPr>
      </w:pPr>
      <w:r>
        <w:rPr>
          <w:rFonts w:ascii="Arial Narrow" w:hAnsi="Arial Narrow" w:cs="Arial"/>
          <w:bCs/>
          <w:sz w:val="17"/>
          <w:szCs w:val="17"/>
        </w:rPr>
        <w:t xml:space="preserve">S’agissant des projets de marchés à passer, </w:t>
      </w:r>
      <w:r w:rsidR="008E0DAA" w:rsidRPr="008E0DAA">
        <w:rPr>
          <w:rFonts w:ascii="Arial Narrow" w:hAnsi="Arial Narrow" w:cs="Arial"/>
          <w:bCs/>
          <w:sz w:val="17"/>
          <w:szCs w:val="17"/>
        </w:rPr>
        <w:t xml:space="preserve">l’attention des acheteurs est appelée sur la rédaction de </w:t>
      </w:r>
      <w:r>
        <w:rPr>
          <w:rFonts w:ascii="Arial Narrow" w:hAnsi="Arial Narrow" w:cs="Arial"/>
          <w:bCs/>
          <w:sz w:val="17"/>
          <w:szCs w:val="17"/>
        </w:rPr>
        <w:t>ces</w:t>
      </w:r>
      <w:r w:rsidR="008E0DAA" w:rsidRPr="008E0DAA">
        <w:rPr>
          <w:rFonts w:ascii="Arial Narrow" w:hAnsi="Arial Narrow" w:cs="Arial"/>
          <w:bCs/>
          <w:sz w:val="17"/>
          <w:szCs w:val="17"/>
        </w:rPr>
        <w:t xml:space="preserve"> futurs marchés, et notamment des clauses relatives aux modalités d’évolution des prix, aux délais d’exécution et aux modalités d’application des pénalités (</w:t>
      </w:r>
      <w:r>
        <w:rPr>
          <w:rFonts w:ascii="Arial Narrow" w:hAnsi="Arial Narrow" w:cs="Arial"/>
          <w:bCs/>
          <w:sz w:val="17"/>
          <w:szCs w:val="17"/>
        </w:rPr>
        <w:t>I</w:t>
      </w:r>
      <w:r w:rsidR="008E0DAA" w:rsidRPr="008E0DAA">
        <w:rPr>
          <w:rFonts w:ascii="Arial Narrow" w:hAnsi="Arial Narrow" w:cs="Arial"/>
          <w:bCs/>
          <w:sz w:val="17"/>
          <w:szCs w:val="17"/>
        </w:rPr>
        <w:t xml:space="preserve">I). </w:t>
      </w:r>
    </w:p>
    <w:p w:rsidR="001E238D" w:rsidRPr="008E0DAA" w:rsidRDefault="001E238D" w:rsidP="001E238D">
      <w:pPr>
        <w:pStyle w:val="Titre3"/>
        <w:keepNext/>
        <w:keepLines/>
        <w:numPr>
          <w:ilvl w:val="0"/>
          <w:numId w:val="4"/>
        </w:numPr>
        <w:spacing w:before="480" w:after="240" w:line="240" w:lineRule="exact"/>
        <w:ind w:left="792" w:hanging="432"/>
        <w:rPr>
          <w:rFonts w:ascii="Arial Narrow" w:hAnsi="Arial Narrow" w:cs="Times New Roman"/>
          <w:b/>
          <w:bCs/>
          <w:i w:val="0"/>
          <w:color w:val="7030A0"/>
          <w:sz w:val="24"/>
          <w:u w:val="none"/>
          <w:lang w:eastAsia="en-US"/>
        </w:rPr>
      </w:pPr>
      <w:r w:rsidRPr="008E0DAA">
        <w:rPr>
          <w:rFonts w:ascii="Arial Narrow" w:hAnsi="Arial Narrow" w:cs="Times New Roman"/>
          <w:b/>
          <w:bCs/>
          <w:i w:val="0"/>
          <w:color w:val="7030A0"/>
          <w:sz w:val="24"/>
          <w:u w:val="none"/>
          <w:lang w:eastAsia="en-US"/>
        </w:rPr>
        <w:t>Modalités de prise en compte de ces difficultés dans les marchés en cours d’exécution</w:t>
      </w:r>
    </w:p>
    <w:p w:rsidR="001E238D" w:rsidRPr="008E0DAA" w:rsidRDefault="001E238D" w:rsidP="001E238D">
      <w:pPr>
        <w:pStyle w:val="Titre4"/>
        <w:keepNext/>
        <w:keepLines/>
        <w:numPr>
          <w:ilvl w:val="1"/>
          <w:numId w:val="4"/>
        </w:numPr>
        <w:tabs>
          <w:tab w:val="left" w:pos="760"/>
        </w:tabs>
        <w:spacing w:before="480" w:after="60" w:line="170" w:lineRule="exact"/>
        <w:ind w:left="1224" w:hanging="504"/>
        <w:rPr>
          <w:rFonts w:eastAsia="Calibri" w:cs="Times New Roman"/>
          <w:b/>
          <w:bCs/>
          <w:i w:val="0"/>
          <w:color w:val="7030A0"/>
          <w:sz w:val="17"/>
          <w:lang w:eastAsia="en-US"/>
        </w:rPr>
      </w:pPr>
      <w:r w:rsidRPr="008E0DAA">
        <w:rPr>
          <w:rFonts w:eastAsia="Calibri" w:cs="Times New Roman"/>
          <w:b/>
          <w:bCs/>
          <w:i w:val="0"/>
          <w:color w:val="7030A0"/>
          <w:sz w:val="17"/>
          <w:lang w:eastAsia="en-US"/>
        </w:rPr>
        <w:t>Les délais d’exécution et l’application des pénalités contractuelles peuvent être adaptés</w:t>
      </w:r>
    </w:p>
    <w:p w:rsidR="001E238D" w:rsidRPr="008E0DAA" w:rsidRDefault="001E238D" w:rsidP="001E238D">
      <w:pPr>
        <w:tabs>
          <w:tab w:val="num" w:pos="720"/>
        </w:tabs>
        <w:spacing w:before="120" w:after="120"/>
        <w:jc w:val="both"/>
        <w:rPr>
          <w:rFonts w:ascii="Arial Narrow" w:hAnsi="Arial Narrow" w:cs="Arial"/>
          <w:bCs/>
          <w:sz w:val="17"/>
          <w:szCs w:val="17"/>
        </w:rPr>
      </w:pPr>
      <w:r w:rsidRPr="008E0DAA">
        <w:rPr>
          <w:rFonts w:ascii="Arial Narrow" w:hAnsi="Arial Narrow" w:cs="Arial"/>
          <w:bCs/>
          <w:sz w:val="17"/>
          <w:szCs w:val="17"/>
        </w:rPr>
        <w:t>Les acheteurs ont toujours la faculté, en cours d’exécution du marché, d’aménager les délais d’exécution et de renoncer à l’application des pénalités de retard. A cet égard, le gouvernement a récemment demandé aux acheteurs de l’Etat, dans les contrats de la commande publique en cours d’exécution, de veiller à ne pas appliquer de pénalités lorsque les retards de livraison ou d’exécution sont la conséquence des difficultés actuelles d’approvisionnement, qu’elles soient ou non directement liées à la crise sanitaire. Lorsque cela est compatible avec le bon fonctionnement des services publics, le gouvernement a également demandé aux acheteurs d’accorder des reports de délais. Les autres acheteurs, notamment les collectivités locales et les établissements publics, ont été invités à faire de même</w:t>
      </w:r>
      <w:r w:rsidRPr="00412145">
        <w:rPr>
          <w:rFonts w:ascii="Arial Narrow" w:hAnsi="Arial Narrow" w:cs="Arial"/>
          <w:bCs/>
          <w:sz w:val="17"/>
          <w:szCs w:val="17"/>
          <w:vertAlign w:val="superscript"/>
        </w:rPr>
        <w:footnoteReference w:id="1"/>
      </w:r>
      <w:r w:rsidRPr="008E0DAA">
        <w:rPr>
          <w:rFonts w:ascii="Arial Narrow" w:hAnsi="Arial Narrow" w:cs="Arial"/>
          <w:bCs/>
          <w:sz w:val="17"/>
          <w:szCs w:val="17"/>
        </w:rPr>
        <w:t>.</w:t>
      </w:r>
    </w:p>
    <w:p w:rsidR="001E238D" w:rsidRPr="008E0DAA" w:rsidRDefault="001E238D" w:rsidP="001E238D">
      <w:pPr>
        <w:pStyle w:val="Paragraphedeliste"/>
        <w:numPr>
          <w:ilvl w:val="2"/>
          <w:numId w:val="4"/>
        </w:numPr>
        <w:tabs>
          <w:tab w:val="num" w:pos="720"/>
        </w:tabs>
        <w:spacing w:before="360" w:after="60"/>
        <w:ind w:hanging="505"/>
        <w:jc w:val="both"/>
        <w:rPr>
          <w:rFonts w:ascii="Arial Narrow" w:hAnsi="Arial Narrow" w:cs="Arial"/>
          <w:bCs/>
          <w:color w:val="7030A0"/>
          <w:sz w:val="17"/>
          <w:szCs w:val="17"/>
        </w:rPr>
      </w:pPr>
      <w:r w:rsidRPr="008E0DAA">
        <w:rPr>
          <w:rFonts w:ascii="Arial Narrow" w:hAnsi="Arial Narrow" w:cs="Arial"/>
          <w:bCs/>
          <w:color w:val="7030A0"/>
          <w:sz w:val="17"/>
          <w:szCs w:val="17"/>
        </w:rPr>
        <w:t>L’aménagement des délais d’exécution</w:t>
      </w:r>
    </w:p>
    <w:p w:rsidR="001E238D" w:rsidRPr="008E0DAA" w:rsidRDefault="001E238D" w:rsidP="001E238D">
      <w:pPr>
        <w:tabs>
          <w:tab w:val="num" w:pos="720"/>
        </w:tabs>
        <w:spacing w:before="120" w:after="120"/>
        <w:jc w:val="both"/>
        <w:rPr>
          <w:rFonts w:ascii="Arial Narrow" w:hAnsi="Arial Narrow" w:cs="Arial"/>
          <w:bCs/>
          <w:sz w:val="17"/>
          <w:szCs w:val="17"/>
        </w:rPr>
      </w:pPr>
      <w:r w:rsidRPr="008E0DAA">
        <w:rPr>
          <w:rFonts w:ascii="Arial Narrow" w:hAnsi="Arial Narrow" w:cs="Arial"/>
          <w:bCs/>
          <w:sz w:val="17"/>
          <w:szCs w:val="17"/>
        </w:rPr>
        <w:t xml:space="preserve">Les acheteurs publics ont toujours la possibilité d’aménager les délais d’exécution lorsque des circonstances extérieures mettent le titulaire dans l’impossibilité de les respecter. En effet, les délais d’exécution peuvent être suspendus ou prolongés. Les clauses contractuelles peuvent par ailleurs anticiper de telles hypothèses, ainsi que le prévoient les différents cahiers des clauses administratives générales (CCAG). Ainsi, dès lors que le titulaire du contrat apporte la démonstration qu’il n’est pas en mesure de respecter certains délais d’exécution, ou que l’exécution des prestations </w:t>
      </w:r>
      <w:r w:rsidRPr="008E0DAA">
        <w:rPr>
          <w:rFonts w:ascii="Arial Narrow" w:hAnsi="Arial Narrow" w:cs="Arial"/>
          <w:bCs/>
          <w:sz w:val="17"/>
          <w:szCs w:val="17"/>
        </w:rPr>
        <w:lastRenderedPageBreak/>
        <w:t>encadrées par ces délais entraînerait pour lui un surcoût manifestement excessif, il lui est possible de solliciter l’autorité contractante afin d’obtenir la prolongation de ces délais spécifiques.</w:t>
      </w:r>
    </w:p>
    <w:p w:rsidR="001E238D" w:rsidRPr="008E0DAA" w:rsidRDefault="001E238D" w:rsidP="001E238D">
      <w:pPr>
        <w:pStyle w:val="Paragraphedeliste"/>
        <w:numPr>
          <w:ilvl w:val="2"/>
          <w:numId w:val="4"/>
        </w:numPr>
        <w:tabs>
          <w:tab w:val="num" w:pos="720"/>
        </w:tabs>
        <w:spacing w:before="360" w:after="60"/>
        <w:ind w:hanging="505"/>
        <w:jc w:val="both"/>
        <w:rPr>
          <w:rFonts w:ascii="Arial Narrow" w:hAnsi="Arial Narrow" w:cs="Arial"/>
          <w:bCs/>
          <w:color w:val="7030A0"/>
          <w:sz w:val="17"/>
          <w:szCs w:val="17"/>
        </w:rPr>
      </w:pPr>
      <w:r w:rsidRPr="008E0DAA">
        <w:rPr>
          <w:rFonts w:ascii="Arial Narrow" w:hAnsi="Arial Narrow" w:cs="Arial"/>
          <w:bCs/>
          <w:color w:val="7030A0"/>
          <w:sz w:val="17"/>
          <w:szCs w:val="17"/>
        </w:rPr>
        <w:t xml:space="preserve">La renonciation aux pénalités de retard </w:t>
      </w:r>
    </w:p>
    <w:p w:rsidR="001E238D" w:rsidRPr="008E0DAA" w:rsidRDefault="001E238D" w:rsidP="001E238D">
      <w:pPr>
        <w:tabs>
          <w:tab w:val="num" w:pos="720"/>
        </w:tabs>
        <w:spacing w:before="120" w:after="120"/>
        <w:jc w:val="both"/>
        <w:rPr>
          <w:rFonts w:ascii="Arial Narrow" w:hAnsi="Arial Narrow" w:cs="Arial"/>
          <w:bCs/>
          <w:sz w:val="17"/>
          <w:szCs w:val="17"/>
        </w:rPr>
      </w:pPr>
      <w:r w:rsidRPr="008E0DAA">
        <w:rPr>
          <w:rFonts w:ascii="Arial Narrow" w:hAnsi="Arial Narrow" w:cs="Arial"/>
          <w:bCs/>
          <w:sz w:val="17"/>
          <w:szCs w:val="17"/>
        </w:rPr>
        <w:t xml:space="preserve">Les acheteurs sont toujours libres de ne pas appliquer les pénalités de retard (CE, 9 novembre 2018, SAS Savoie, n° 413533), sous réserve que cela ne constitue pas une libéralité (CE, 19 mars 1971, Mergui, n°79962). Les acheteurs peuvent même être tenus d’y renoncer en application des clauses du contrat. </w:t>
      </w:r>
    </w:p>
    <w:p w:rsidR="001E238D" w:rsidRPr="008E0DAA" w:rsidRDefault="001E238D" w:rsidP="001E238D">
      <w:pPr>
        <w:tabs>
          <w:tab w:val="num" w:pos="720"/>
        </w:tabs>
        <w:spacing w:before="120" w:after="120"/>
        <w:jc w:val="both"/>
        <w:rPr>
          <w:rFonts w:ascii="Arial Narrow" w:hAnsi="Arial Narrow" w:cs="Arial"/>
          <w:bCs/>
          <w:sz w:val="17"/>
          <w:szCs w:val="17"/>
        </w:rPr>
      </w:pPr>
      <w:r w:rsidRPr="008E0DAA">
        <w:rPr>
          <w:rFonts w:ascii="Arial Narrow" w:hAnsi="Arial Narrow" w:cs="Arial"/>
          <w:bCs/>
          <w:sz w:val="17"/>
          <w:szCs w:val="17"/>
        </w:rPr>
        <w:t xml:space="preserve">Le juge administratif invite d’ailleurs les acheteurs à faire une application raisonnée des pénalités de retard. Celui-ci peut moduler le montant des pénalités, « si ces pénalités atteignent un montant manifestement excessif ou dérisoire eu égard au montant du marché » (CE, 29 décembre 2008, OPHLM de Puteaux, n° 296930). </w:t>
      </w:r>
    </w:p>
    <w:p w:rsidR="001E238D" w:rsidRPr="008E0DAA" w:rsidRDefault="001E238D" w:rsidP="001E238D">
      <w:pPr>
        <w:pStyle w:val="Paragraphedeliste"/>
        <w:numPr>
          <w:ilvl w:val="2"/>
          <w:numId w:val="4"/>
        </w:numPr>
        <w:tabs>
          <w:tab w:val="num" w:pos="720"/>
        </w:tabs>
        <w:spacing w:before="360" w:after="60"/>
        <w:ind w:hanging="505"/>
        <w:jc w:val="both"/>
        <w:rPr>
          <w:rFonts w:ascii="Arial Narrow" w:hAnsi="Arial Narrow" w:cs="Arial"/>
          <w:bCs/>
          <w:color w:val="7030A0"/>
          <w:sz w:val="17"/>
          <w:szCs w:val="17"/>
        </w:rPr>
      </w:pPr>
      <w:r w:rsidRPr="008E0DAA">
        <w:rPr>
          <w:rFonts w:ascii="Arial Narrow" w:hAnsi="Arial Narrow" w:cs="Arial"/>
          <w:bCs/>
          <w:color w:val="7030A0"/>
          <w:sz w:val="17"/>
          <w:szCs w:val="17"/>
        </w:rPr>
        <w:t>Les circonstances constitutives de cas de la force majeure</w:t>
      </w:r>
    </w:p>
    <w:p w:rsidR="001E238D" w:rsidRPr="008E0DAA" w:rsidRDefault="001E238D" w:rsidP="001E238D">
      <w:pPr>
        <w:tabs>
          <w:tab w:val="num" w:pos="720"/>
        </w:tabs>
        <w:spacing w:before="120" w:after="120"/>
        <w:jc w:val="both"/>
        <w:rPr>
          <w:rFonts w:ascii="Arial Narrow" w:hAnsi="Arial Narrow" w:cs="Arial"/>
          <w:bCs/>
          <w:sz w:val="17"/>
          <w:szCs w:val="17"/>
        </w:rPr>
      </w:pPr>
      <w:r w:rsidRPr="008E0DAA">
        <w:rPr>
          <w:rFonts w:ascii="Arial Narrow" w:hAnsi="Arial Narrow" w:cs="Arial"/>
          <w:bCs/>
          <w:sz w:val="17"/>
          <w:szCs w:val="17"/>
        </w:rPr>
        <w:t xml:space="preserve">La non-application des pénalités de retard et le report des délais d’exécution s’imposent à l’acheteur lorsque les circonstances peuvent être qualifiées de cas de force majeure, étant rappelé que la force majeure s’entend d’un événement extérieur, imprévisible et irrésistible et que ces conditions ne peuvent s’apprécier qu’au cas par cas, selon les aménagements prévus par les stipulations de chaque contrat. </w:t>
      </w:r>
    </w:p>
    <w:p w:rsidR="001E238D" w:rsidRPr="008E0DAA" w:rsidRDefault="001E238D" w:rsidP="001E238D">
      <w:pPr>
        <w:tabs>
          <w:tab w:val="num" w:pos="720"/>
        </w:tabs>
        <w:spacing w:before="120" w:after="120"/>
        <w:jc w:val="both"/>
        <w:rPr>
          <w:rFonts w:ascii="Arial Narrow" w:hAnsi="Arial Narrow" w:cs="Arial"/>
          <w:bCs/>
          <w:sz w:val="17"/>
          <w:szCs w:val="17"/>
        </w:rPr>
      </w:pPr>
      <w:r w:rsidRPr="008E0DAA">
        <w:rPr>
          <w:rFonts w:ascii="Arial Narrow" w:hAnsi="Arial Narrow" w:cs="Arial"/>
          <w:bCs/>
          <w:sz w:val="17"/>
          <w:szCs w:val="17"/>
        </w:rPr>
        <w:t>Le juge administratif considère notamment que l’imprévisibilité s’apprécie à l’aune de ce qu’un contractant normalement diligent peut prévoir, un événement en lui-même prévisible pouvant avoir des conséquences imprévisibles par leur ampleur. De même, l’appréciation du caractère irrésistible de l’événement tient compte des moyens dont dispose le cocontractant pour l’exécution de ses obligations.</w:t>
      </w:r>
    </w:p>
    <w:p w:rsidR="001E238D" w:rsidRPr="008E0DAA" w:rsidRDefault="00726E99" w:rsidP="001E238D">
      <w:pPr>
        <w:pStyle w:val="Titre4"/>
        <w:keepNext/>
        <w:keepLines/>
        <w:numPr>
          <w:ilvl w:val="1"/>
          <w:numId w:val="4"/>
        </w:numPr>
        <w:tabs>
          <w:tab w:val="left" w:pos="760"/>
        </w:tabs>
        <w:spacing w:before="480" w:after="60" w:line="170" w:lineRule="exact"/>
        <w:ind w:left="1224" w:hanging="504"/>
        <w:rPr>
          <w:rFonts w:eastAsia="Calibri" w:cs="Times New Roman"/>
          <w:b/>
          <w:bCs/>
          <w:i w:val="0"/>
          <w:color w:val="7030A0"/>
          <w:sz w:val="17"/>
          <w:lang w:eastAsia="en-US"/>
        </w:rPr>
      </w:pPr>
      <w:r>
        <w:rPr>
          <w:rFonts w:eastAsia="Calibri" w:cs="Times New Roman"/>
          <w:b/>
          <w:bCs/>
          <w:i w:val="0"/>
          <w:color w:val="7030A0"/>
          <w:sz w:val="17"/>
          <w:lang w:eastAsia="en-US"/>
        </w:rPr>
        <w:t>Les c</w:t>
      </w:r>
      <w:r w:rsidR="001E238D" w:rsidRPr="008E0DAA">
        <w:rPr>
          <w:rFonts w:eastAsia="Calibri" w:cs="Times New Roman"/>
          <w:b/>
          <w:bCs/>
          <w:i w:val="0"/>
          <w:color w:val="7030A0"/>
          <w:sz w:val="17"/>
          <w:lang w:eastAsia="en-US"/>
        </w:rPr>
        <w:t>onditions de prise en compte de l’augmentation des prix des matières premières dans les contrats en cours</w:t>
      </w:r>
    </w:p>
    <w:p w:rsidR="001E238D" w:rsidRPr="008E0DAA" w:rsidRDefault="001E238D" w:rsidP="001E238D">
      <w:pPr>
        <w:pStyle w:val="Paragraphedeliste"/>
        <w:numPr>
          <w:ilvl w:val="2"/>
          <w:numId w:val="4"/>
        </w:numPr>
        <w:tabs>
          <w:tab w:val="num" w:pos="720"/>
        </w:tabs>
        <w:spacing w:before="360" w:after="60"/>
        <w:ind w:hanging="505"/>
        <w:jc w:val="both"/>
        <w:rPr>
          <w:rFonts w:ascii="Arial Narrow" w:hAnsi="Arial Narrow" w:cs="Arial"/>
          <w:bCs/>
          <w:color w:val="7030A0"/>
          <w:sz w:val="17"/>
          <w:szCs w:val="17"/>
        </w:rPr>
      </w:pPr>
      <w:r w:rsidRPr="008E0DAA">
        <w:rPr>
          <w:rFonts w:ascii="Arial Narrow" w:hAnsi="Arial Narrow" w:cs="Arial"/>
          <w:bCs/>
          <w:color w:val="7030A0"/>
          <w:sz w:val="17"/>
          <w:szCs w:val="17"/>
        </w:rPr>
        <w:t xml:space="preserve">Rappel liminaire sur le caractère intangible des prix  </w:t>
      </w:r>
    </w:p>
    <w:p w:rsidR="001E238D" w:rsidRPr="008E0DAA" w:rsidRDefault="001E238D" w:rsidP="00726E99">
      <w:pPr>
        <w:tabs>
          <w:tab w:val="num" w:pos="720"/>
        </w:tabs>
        <w:spacing w:before="120" w:after="120"/>
        <w:jc w:val="both"/>
        <w:rPr>
          <w:rFonts w:ascii="Arial Narrow" w:hAnsi="Arial Narrow" w:cs="Arial"/>
          <w:bCs/>
          <w:sz w:val="17"/>
          <w:szCs w:val="17"/>
        </w:rPr>
      </w:pPr>
      <w:r w:rsidRPr="008E0DAA">
        <w:rPr>
          <w:rFonts w:ascii="Arial Narrow" w:hAnsi="Arial Narrow" w:cs="Arial"/>
          <w:bCs/>
          <w:sz w:val="17"/>
          <w:szCs w:val="17"/>
        </w:rPr>
        <w:t>Le prix contractualisé est intangible, ainsi que les conditions de son évolution prévue</w:t>
      </w:r>
      <w:r w:rsidR="00726E99">
        <w:rPr>
          <w:rFonts w:ascii="Arial Narrow" w:hAnsi="Arial Narrow" w:cs="Arial"/>
          <w:bCs/>
          <w:sz w:val="17"/>
          <w:szCs w:val="17"/>
        </w:rPr>
        <w:t>s</w:t>
      </w:r>
      <w:r w:rsidRPr="008E0DAA">
        <w:rPr>
          <w:rFonts w:ascii="Arial Narrow" w:hAnsi="Arial Narrow" w:cs="Arial"/>
          <w:bCs/>
          <w:sz w:val="17"/>
          <w:szCs w:val="17"/>
        </w:rPr>
        <w:t xml:space="preserve"> à la signature du contrat. Le prix </w:t>
      </w:r>
      <w:r w:rsidR="00726E99">
        <w:rPr>
          <w:rFonts w:ascii="Arial Narrow" w:hAnsi="Arial Narrow" w:cs="Arial"/>
          <w:bCs/>
          <w:sz w:val="17"/>
          <w:szCs w:val="17"/>
        </w:rPr>
        <w:t>et ses conditions d’exécution sont des</w:t>
      </w:r>
      <w:r w:rsidRPr="008E0DAA">
        <w:rPr>
          <w:rFonts w:ascii="Arial Narrow" w:hAnsi="Arial Narrow" w:cs="Arial"/>
          <w:bCs/>
          <w:sz w:val="17"/>
          <w:szCs w:val="17"/>
        </w:rPr>
        <w:t xml:space="preserve"> élément</w:t>
      </w:r>
      <w:r w:rsidR="00726E99">
        <w:rPr>
          <w:rFonts w:ascii="Arial Narrow" w:hAnsi="Arial Narrow" w:cs="Arial"/>
          <w:bCs/>
          <w:sz w:val="17"/>
          <w:szCs w:val="17"/>
        </w:rPr>
        <w:t>s</w:t>
      </w:r>
      <w:r w:rsidRPr="008E0DAA">
        <w:rPr>
          <w:rFonts w:ascii="Arial Narrow" w:hAnsi="Arial Narrow" w:cs="Arial"/>
          <w:bCs/>
          <w:sz w:val="17"/>
          <w:szCs w:val="17"/>
        </w:rPr>
        <w:t xml:space="preserve"> essentiel</w:t>
      </w:r>
      <w:r w:rsidR="00726E99">
        <w:rPr>
          <w:rFonts w:ascii="Arial Narrow" w:hAnsi="Arial Narrow" w:cs="Arial"/>
          <w:bCs/>
          <w:sz w:val="17"/>
          <w:szCs w:val="17"/>
        </w:rPr>
        <w:t>s</w:t>
      </w:r>
      <w:r w:rsidRPr="008E0DAA">
        <w:rPr>
          <w:rFonts w:ascii="Arial Narrow" w:hAnsi="Arial Narrow" w:cs="Arial"/>
          <w:bCs/>
          <w:sz w:val="17"/>
          <w:szCs w:val="17"/>
        </w:rPr>
        <w:t xml:space="preserve"> du marché qui ne peu</w:t>
      </w:r>
      <w:r w:rsidR="00726E99">
        <w:rPr>
          <w:rFonts w:ascii="Arial Narrow" w:hAnsi="Arial Narrow" w:cs="Arial"/>
          <w:bCs/>
          <w:sz w:val="17"/>
          <w:szCs w:val="17"/>
        </w:rPr>
        <w:t>ven</w:t>
      </w:r>
      <w:r w:rsidRPr="008E0DAA">
        <w:rPr>
          <w:rFonts w:ascii="Arial Narrow" w:hAnsi="Arial Narrow" w:cs="Arial"/>
          <w:bCs/>
          <w:sz w:val="17"/>
          <w:szCs w:val="17"/>
        </w:rPr>
        <w:t>t évoluer en cours d’exécution, sauf clause de révision ou clause de réexamen.</w:t>
      </w:r>
      <w:r w:rsidR="00726E99">
        <w:rPr>
          <w:rFonts w:ascii="Arial Narrow" w:hAnsi="Arial Narrow" w:cs="Arial"/>
          <w:bCs/>
          <w:sz w:val="17"/>
          <w:szCs w:val="17"/>
        </w:rPr>
        <w:t xml:space="preserve"> Ils sont aussi un élément essentiel de la détermination des </w:t>
      </w:r>
      <w:r w:rsidRPr="008E0DAA">
        <w:rPr>
          <w:rFonts w:ascii="Arial Narrow" w:hAnsi="Arial Narrow" w:cs="Arial"/>
          <w:bCs/>
          <w:sz w:val="17"/>
          <w:szCs w:val="17"/>
        </w:rPr>
        <w:t>offre</w:t>
      </w:r>
      <w:r w:rsidR="00726E99">
        <w:rPr>
          <w:rFonts w:ascii="Arial Narrow" w:hAnsi="Arial Narrow" w:cs="Arial"/>
          <w:bCs/>
          <w:sz w:val="17"/>
          <w:szCs w:val="17"/>
        </w:rPr>
        <w:t>s</w:t>
      </w:r>
      <w:r w:rsidRPr="008E0DAA">
        <w:rPr>
          <w:rFonts w:ascii="Arial Narrow" w:hAnsi="Arial Narrow" w:cs="Arial"/>
          <w:bCs/>
          <w:sz w:val="17"/>
          <w:szCs w:val="17"/>
        </w:rPr>
        <w:t xml:space="preserve"> remise</w:t>
      </w:r>
      <w:r w:rsidR="00726E99">
        <w:rPr>
          <w:rFonts w:ascii="Arial Narrow" w:hAnsi="Arial Narrow" w:cs="Arial"/>
          <w:bCs/>
          <w:sz w:val="17"/>
          <w:szCs w:val="17"/>
        </w:rPr>
        <w:t>s</w:t>
      </w:r>
      <w:r w:rsidRPr="008E0DAA">
        <w:rPr>
          <w:rFonts w:ascii="Arial Narrow" w:hAnsi="Arial Narrow" w:cs="Arial"/>
          <w:bCs/>
          <w:sz w:val="17"/>
          <w:szCs w:val="17"/>
        </w:rPr>
        <w:t xml:space="preserve"> par les candidats</w:t>
      </w:r>
      <w:r w:rsidR="00726E99">
        <w:rPr>
          <w:rFonts w:ascii="Arial Narrow" w:hAnsi="Arial Narrow" w:cs="Arial"/>
          <w:bCs/>
          <w:sz w:val="17"/>
          <w:szCs w:val="17"/>
        </w:rPr>
        <w:t xml:space="preserve"> au stade de la passation du marché</w:t>
      </w:r>
      <w:r w:rsidRPr="008E0DAA">
        <w:rPr>
          <w:rFonts w:ascii="Arial Narrow" w:hAnsi="Arial Narrow" w:cs="Arial"/>
          <w:bCs/>
          <w:sz w:val="17"/>
          <w:szCs w:val="17"/>
        </w:rPr>
        <w:t xml:space="preserve">. </w:t>
      </w:r>
    </w:p>
    <w:p w:rsidR="001E238D" w:rsidRPr="008E0DAA" w:rsidRDefault="001E238D" w:rsidP="001E238D">
      <w:pPr>
        <w:tabs>
          <w:tab w:val="num" w:pos="720"/>
        </w:tabs>
        <w:spacing w:before="120" w:after="120"/>
        <w:jc w:val="both"/>
        <w:rPr>
          <w:rFonts w:ascii="Arial Narrow" w:hAnsi="Arial Narrow" w:cs="Arial"/>
          <w:bCs/>
          <w:sz w:val="17"/>
          <w:szCs w:val="17"/>
        </w:rPr>
      </w:pPr>
      <w:r w:rsidRPr="008E0DAA">
        <w:rPr>
          <w:rFonts w:ascii="Arial Narrow" w:hAnsi="Arial Narrow" w:cs="Arial"/>
          <w:bCs/>
          <w:sz w:val="17"/>
          <w:szCs w:val="17"/>
        </w:rPr>
        <w:t xml:space="preserve">Ainsi, en l’absence de clause de révision de prix ou de réexamen, une </w:t>
      </w:r>
      <w:r w:rsidR="00726E99">
        <w:rPr>
          <w:rFonts w:ascii="Arial Narrow" w:hAnsi="Arial Narrow" w:cs="Arial"/>
          <w:bCs/>
          <w:sz w:val="17"/>
          <w:szCs w:val="17"/>
        </w:rPr>
        <w:t>modification</w:t>
      </w:r>
      <w:r w:rsidRPr="008E0DAA">
        <w:rPr>
          <w:rFonts w:ascii="Arial Narrow" w:hAnsi="Arial Narrow" w:cs="Arial"/>
          <w:bCs/>
          <w:sz w:val="17"/>
          <w:szCs w:val="17"/>
        </w:rPr>
        <w:t xml:space="preserve"> du prix porterait atteinte aux conditions de la mise en concurrence initiale</w:t>
      </w:r>
      <w:r w:rsidR="00726E99">
        <w:rPr>
          <w:rFonts w:ascii="Arial Narrow" w:hAnsi="Arial Narrow" w:cs="Arial"/>
          <w:bCs/>
          <w:sz w:val="17"/>
          <w:szCs w:val="17"/>
        </w:rPr>
        <w:t xml:space="preserve"> </w:t>
      </w:r>
      <w:r w:rsidR="00726E99" w:rsidRPr="008E0DAA">
        <w:rPr>
          <w:rFonts w:ascii="Arial Narrow" w:hAnsi="Arial Narrow" w:cs="Arial"/>
          <w:bCs/>
          <w:sz w:val="17"/>
          <w:szCs w:val="17"/>
        </w:rPr>
        <w:t>(CE, 15 février 1957, Etablissement Dickson)</w:t>
      </w:r>
      <w:r w:rsidRPr="008E0DAA">
        <w:rPr>
          <w:rFonts w:ascii="Arial Narrow" w:hAnsi="Arial Narrow" w:cs="Arial"/>
          <w:bCs/>
          <w:sz w:val="17"/>
          <w:szCs w:val="17"/>
        </w:rPr>
        <w:t>. La clause de révision de prix ne peut  donc  être ni modifiée, ni introduite en cours d’exécution du marché même si celle-ci était obligatoire</w:t>
      </w:r>
      <w:r w:rsidRPr="00412145">
        <w:rPr>
          <w:rFonts w:ascii="Arial Narrow" w:hAnsi="Arial Narrow" w:cs="Arial"/>
          <w:bCs/>
          <w:sz w:val="17"/>
          <w:szCs w:val="17"/>
          <w:vertAlign w:val="superscript"/>
        </w:rPr>
        <w:footnoteReference w:id="2"/>
      </w:r>
      <w:r w:rsidRPr="008E0DAA">
        <w:rPr>
          <w:rFonts w:ascii="Arial Narrow" w:hAnsi="Arial Narrow" w:cs="Arial"/>
          <w:bCs/>
          <w:sz w:val="17"/>
          <w:szCs w:val="17"/>
        </w:rPr>
        <w:t xml:space="preserve">. </w:t>
      </w:r>
    </w:p>
    <w:p w:rsidR="001E238D" w:rsidRPr="008E0DAA" w:rsidRDefault="001E238D" w:rsidP="001E238D">
      <w:pPr>
        <w:pStyle w:val="Paragraphedeliste"/>
        <w:numPr>
          <w:ilvl w:val="2"/>
          <w:numId w:val="4"/>
        </w:numPr>
        <w:tabs>
          <w:tab w:val="num" w:pos="720"/>
        </w:tabs>
        <w:spacing w:before="360" w:after="60"/>
        <w:ind w:hanging="505"/>
        <w:jc w:val="both"/>
        <w:rPr>
          <w:rFonts w:ascii="Arial Narrow" w:hAnsi="Arial Narrow" w:cs="Arial"/>
          <w:bCs/>
          <w:color w:val="7030A0"/>
          <w:sz w:val="17"/>
          <w:szCs w:val="17"/>
        </w:rPr>
      </w:pPr>
      <w:r w:rsidRPr="008E0DAA">
        <w:rPr>
          <w:rFonts w:ascii="Arial Narrow" w:hAnsi="Arial Narrow" w:cs="Arial"/>
          <w:bCs/>
          <w:color w:val="7030A0"/>
          <w:sz w:val="17"/>
          <w:szCs w:val="17"/>
        </w:rPr>
        <w:t xml:space="preserve">Le droit à indemnisation ou à résiliation lorsque la théorie de l’imprévision peut être mise en œuvre </w:t>
      </w:r>
    </w:p>
    <w:p w:rsidR="001E238D" w:rsidRPr="008E0DAA" w:rsidRDefault="001E238D" w:rsidP="001E238D">
      <w:pPr>
        <w:tabs>
          <w:tab w:val="num" w:pos="720"/>
        </w:tabs>
        <w:spacing w:before="120" w:after="120"/>
        <w:jc w:val="both"/>
        <w:rPr>
          <w:rFonts w:ascii="Arial Narrow" w:hAnsi="Arial Narrow" w:cs="Arial"/>
          <w:bCs/>
          <w:sz w:val="17"/>
          <w:szCs w:val="17"/>
        </w:rPr>
      </w:pPr>
      <w:r w:rsidRPr="008E0DAA">
        <w:rPr>
          <w:rFonts w:ascii="Arial Narrow" w:hAnsi="Arial Narrow" w:cs="Arial"/>
          <w:bCs/>
          <w:sz w:val="17"/>
          <w:szCs w:val="17"/>
        </w:rPr>
        <w:t xml:space="preserve">Dans l’hypothèse où l’augmentation du prix des matières premières ou des composants indispensables à l’exécution des prestations entraînerait un bouleversement temporaire de l’économie du contrat (CE 30 mars 1916, Compagnie générale d'éclairage de Bordeaux, n° 59928), le titulaire du marché concerné pourrait solliciter une indemnité sur le fondement de la théorie de l’imprévision, à condition de démontrer que cette augmentation était imprévisible, soit dans sa survenance, soit dans son ampleur. Dans la mesure où les prix des matières premières sont par nature soumis à des fluctuations cycliques, une indemnisation sur le fondement de la théorie de l’imprévision ne sera possible que s’il est démontré que la hausse actuelle des matières premières concernées était imprévisible dans son ampleur et qu’elle a provoqué un déficit d’exploitation. A cet égard, le titulaire ne peut invoquer un simple manque à gagner CE 25 novembre 1921, Compagnie </w:t>
      </w:r>
      <w:r w:rsidRPr="008E0DAA">
        <w:rPr>
          <w:rFonts w:ascii="Arial Narrow" w:hAnsi="Arial Narrow" w:cs="Arial"/>
          <w:bCs/>
          <w:sz w:val="17"/>
          <w:szCs w:val="17"/>
        </w:rPr>
        <w:lastRenderedPageBreak/>
        <w:t>générale des automobiles postales, Rec. p. 980) ou même une disparition totale de son bénéfice (CE 4 octobre 1961, Entreprise Charlet, Rec. p. 539).</w:t>
      </w:r>
    </w:p>
    <w:p w:rsidR="001E238D" w:rsidRPr="008E0DAA" w:rsidRDefault="001E238D" w:rsidP="001E238D">
      <w:pPr>
        <w:tabs>
          <w:tab w:val="num" w:pos="720"/>
        </w:tabs>
        <w:spacing w:before="120" w:after="120"/>
        <w:jc w:val="both"/>
        <w:rPr>
          <w:rFonts w:ascii="Arial Narrow" w:hAnsi="Arial Narrow" w:cs="Arial"/>
          <w:bCs/>
          <w:sz w:val="17"/>
          <w:szCs w:val="17"/>
        </w:rPr>
      </w:pPr>
      <w:r w:rsidRPr="008E0DAA">
        <w:rPr>
          <w:rFonts w:ascii="Arial Narrow" w:hAnsi="Arial Narrow" w:cs="Arial"/>
          <w:bCs/>
          <w:sz w:val="17"/>
          <w:szCs w:val="17"/>
        </w:rPr>
        <w:t xml:space="preserve">Dans le cadre d’une demande d’indemnisation, il appartient au titulaire d’apporter tous les justificatifs nécessaires, et notamment la preuve que l’achat des matériaux concernés était bien postérieur à la période durant laquelle le prix de ces derniers a augmenté de façon imprévisible. </w:t>
      </w:r>
    </w:p>
    <w:p w:rsidR="001E238D" w:rsidRPr="008E0DAA" w:rsidRDefault="001E238D" w:rsidP="001E238D">
      <w:pPr>
        <w:tabs>
          <w:tab w:val="num" w:pos="720"/>
        </w:tabs>
        <w:spacing w:before="120" w:after="120"/>
        <w:jc w:val="both"/>
        <w:rPr>
          <w:rFonts w:ascii="Arial Narrow" w:hAnsi="Arial Narrow" w:cs="Arial"/>
          <w:bCs/>
          <w:sz w:val="17"/>
          <w:szCs w:val="17"/>
        </w:rPr>
      </w:pPr>
      <w:r w:rsidRPr="008E0DAA">
        <w:rPr>
          <w:rFonts w:ascii="Arial Narrow" w:hAnsi="Arial Narrow" w:cs="Arial"/>
          <w:bCs/>
          <w:sz w:val="17"/>
          <w:szCs w:val="17"/>
        </w:rPr>
        <w:t>Par ailleurs, l’indemnité accordée ne peut couvrir qu'une partie du déficit subi par le cocontractant de l'administration. Ce dernier doit en effet prendre à sa charge le coût de l'aléa économique « normal » inhérent à tout contrat (CE, 30 mars 1916, Compagnie générale d’éclairage de Bordeaux, n° 59928 ; CE, 21 octobre 2019, Société Alliance, n° 419155). Le juge administratif met généralement à la charge de la personne publique 90% du montant de cette charge extra-contractuelle.</w:t>
      </w:r>
    </w:p>
    <w:p w:rsidR="001E238D" w:rsidRPr="008E0DAA" w:rsidRDefault="001E238D" w:rsidP="001E238D">
      <w:pPr>
        <w:tabs>
          <w:tab w:val="num" w:pos="720"/>
        </w:tabs>
        <w:spacing w:before="120" w:after="120"/>
        <w:jc w:val="both"/>
        <w:rPr>
          <w:rFonts w:ascii="Arial Narrow" w:hAnsi="Arial Narrow" w:cs="Arial"/>
          <w:bCs/>
          <w:sz w:val="17"/>
          <w:szCs w:val="17"/>
        </w:rPr>
      </w:pPr>
      <w:r w:rsidRPr="008E0DAA">
        <w:rPr>
          <w:rFonts w:ascii="Arial Narrow" w:hAnsi="Arial Narrow" w:cs="Arial"/>
          <w:bCs/>
          <w:sz w:val="17"/>
          <w:szCs w:val="17"/>
        </w:rPr>
        <w:t>La mise en œuvre de la théorie de l’imprévision ne peut être que temporaire. Si les circonstances bouleversent définitivement le contrat, les parties se trouvent alors en présence d’un cas de force majeure administrative permettant au titulaire de solliciter la résiliation du contrat devenu manifestement inéquitable (CE, 9 décembre 1932, Compagnie des tramways de Cherbourg, Rec. p. 1050).</w:t>
      </w:r>
    </w:p>
    <w:p w:rsidR="001E238D" w:rsidRPr="00726E99" w:rsidRDefault="001E238D" w:rsidP="00726E99">
      <w:pPr>
        <w:pStyle w:val="Titre4"/>
        <w:keepNext/>
        <w:keepLines/>
        <w:numPr>
          <w:ilvl w:val="1"/>
          <w:numId w:val="4"/>
        </w:numPr>
        <w:tabs>
          <w:tab w:val="left" w:pos="760"/>
        </w:tabs>
        <w:spacing w:before="480" w:after="60" w:line="170" w:lineRule="exact"/>
        <w:ind w:left="1224" w:hanging="504"/>
        <w:rPr>
          <w:rFonts w:eastAsia="Calibri" w:cs="Times New Roman"/>
          <w:b/>
          <w:bCs/>
          <w:i w:val="0"/>
          <w:color w:val="7030A0"/>
          <w:sz w:val="17"/>
          <w:lang w:eastAsia="en-US"/>
        </w:rPr>
      </w:pPr>
      <w:r w:rsidRPr="00726E99">
        <w:rPr>
          <w:rFonts w:eastAsia="Calibri" w:cs="Times New Roman"/>
          <w:b/>
          <w:bCs/>
          <w:i w:val="0"/>
          <w:color w:val="7030A0"/>
          <w:sz w:val="17"/>
          <w:lang w:eastAsia="en-US"/>
        </w:rPr>
        <w:t>La modification du contrat</w:t>
      </w:r>
    </w:p>
    <w:p w:rsidR="001E238D" w:rsidRPr="008E0DAA" w:rsidRDefault="001E238D" w:rsidP="008E0DAA">
      <w:pPr>
        <w:tabs>
          <w:tab w:val="num" w:pos="720"/>
        </w:tabs>
        <w:spacing w:before="120" w:after="120"/>
        <w:jc w:val="both"/>
        <w:rPr>
          <w:rFonts w:ascii="Arial Narrow" w:hAnsi="Arial Narrow" w:cs="Arial"/>
          <w:bCs/>
          <w:sz w:val="17"/>
          <w:szCs w:val="17"/>
        </w:rPr>
      </w:pPr>
      <w:r w:rsidRPr="008E0DAA">
        <w:rPr>
          <w:rFonts w:ascii="Arial Narrow" w:hAnsi="Arial Narrow" w:cs="Arial"/>
          <w:bCs/>
          <w:sz w:val="17"/>
          <w:szCs w:val="17"/>
        </w:rPr>
        <w:t>Enfin, les retards provoqués par les pénuries ou même les bouleversements de l’équilibre économique du contrat peuvent justifier la signature d’un avenant sur le fondement de l’article R.2194-5 du code de la commande publique afin de modifier le périmètre des prestations ou adapter les conditions d’exécution du marché. Ces modifications ne sont possibles que si elles sont indispensables pour faire face aux circonstances imprévues et permettre la pour</w:t>
      </w:r>
      <w:r w:rsidR="00726E99">
        <w:rPr>
          <w:rFonts w:ascii="Arial Narrow" w:hAnsi="Arial Narrow" w:cs="Arial"/>
          <w:bCs/>
          <w:sz w:val="17"/>
          <w:szCs w:val="17"/>
        </w:rPr>
        <w:t>suite de l’exécution du contrat</w:t>
      </w:r>
      <w:r w:rsidRPr="008E0DAA">
        <w:rPr>
          <w:rFonts w:ascii="Arial Narrow" w:hAnsi="Arial Narrow" w:cs="Arial"/>
          <w:bCs/>
          <w:sz w:val="17"/>
          <w:szCs w:val="17"/>
        </w:rPr>
        <w:t>.</w:t>
      </w:r>
    </w:p>
    <w:p w:rsidR="008E0DAA" w:rsidRPr="008E0DAA" w:rsidRDefault="008E0DAA" w:rsidP="008E0DAA">
      <w:pPr>
        <w:pStyle w:val="Titre3"/>
        <w:keepNext/>
        <w:keepLines/>
        <w:numPr>
          <w:ilvl w:val="0"/>
          <w:numId w:val="4"/>
        </w:numPr>
        <w:spacing w:before="480" w:after="240" w:line="240" w:lineRule="exact"/>
        <w:ind w:left="792" w:hanging="432"/>
        <w:rPr>
          <w:rFonts w:ascii="Arial Narrow" w:hAnsi="Arial Narrow" w:cs="Times New Roman"/>
          <w:b/>
          <w:bCs/>
          <w:i w:val="0"/>
          <w:color w:val="7030A0"/>
          <w:sz w:val="24"/>
          <w:u w:val="none"/>
          <w:lang w:eastAsia="en-US"/>
        </w:rPr>
      </w:pPr>
      <w:r w:rsidRPr="008E0DAA">
        <w:rPr>
          <w:rFonts w:ascii="Arial Narrow" w:hAnsi="Arial Narrow" w:cs="Times New Roman"/>
          <w:b/>
          <w:bCs/>
          <w:i w:val="0"/>
          <w:color w:val="7030A0"/>
          <w:sz w:val="24"/>
          <w:u w:val="none"/>
          <w:lang w:eastAsia="en-US"/>
        </w:rPr>
        <w:t>Points d’attention sur la rédaction des futurs marchés</w:t>
      </w:r>
    </w:p>
    <w:p w:rsidR="008E0DAA" w:rsidRPr="008E0DAA" w:rsidRDefault="008E0DAA" w:rsidP="008E0DAA">
      <w:pPr>
        <w:pStyle w:val="Titre4"/>
        <w:keepNext/>
        <w:keepLines/>
        <w:numPr>
          <w:ilvl w:val="1"/>
          <w:numId w:val="4"/>
        </w:numPr>
        <w:tabs>
          <w:tab w:val="left" w:pos="760"/>
        </w:tabs>
        <w:spacing w:before="480" w:after="60" w:line="170" w:lineRule="exact"/>
        <w:ind w:left="1224" w:hanging="504"/>
        <w:rPr>
          <w:rFonts w:eastAsia="Calibri" w:cs="Times New Roman"/>
          <w:b/>
          <w:bCs/>
          <w:i w:val="0"/>
          <w:color w:val="7030A0"/>
          <w:sz w:val="17"/>
          <w:lang w:eastAsia="en-US"/>
        </w:rPr>
      </w:pPr>
      <w:r w:rsidRPr="008E0DAA">
        <w:rPr>
          <w:rFonts w:eastAsia="Calibri" w:cs="Times New Roman"/>
          <w:b/>
          <w:bCs/>
          <w:i w:val="0"/>
          <w:color w:val="7030A0"/>
          <w:sz w:val="17"/>
          <w:lang w:eastAsia="en-US"/>
        </w:rPr>
        <w:t xml:space="preserve">Obligations en matière d’actualisation et de révision des prix </w:t>
      </w:r>
    </w:p>
    <w:p w:rsidR="008E0DAA" w:rsidRPr="008E0DAA" w:rsidRDefault="008E0DAA" w:rsidP="008E0DAA">
      <w:pPr>
        <w:tabs>
          <w:tab w:val="num" w:pos="720"/>
        </w:tabs>
        <w:spacing w:before="120" w:after="120"/>
        <w:jc w:val="both"/>
        <w:rPr>
          <w:rFonts w:ascii="Arial Narrow" w:hAnsi="Arial Narrow" w:cs="Arial"/>
          <w:bCs/>
          <w:sz w:val="17"/>
          <w:szCs w:val="17"/>
        </w:rPr>
      </w:pPr>
      <w:r w:rsidRPr="008E0DAA">
        <w:rPr>
          <w:rFonts w:ascii="Arial Narrow" w:hAnsi="Arial Narrow" w:cs="Arial"/>
          <w:bCs/>
          <w:sz w:val="17"/>
          <w:szCs w:val="17"/>
        </w:rPr>
        <w:t>L’article R. 2112-13 du code de la commande publique prévoit que les marchés publics doivent être conclus à prix révisables lorsque les prestations sur lesquelles ils portent sont exposées à des aléas majeurs du fait de l’évolution raisonnablement prévisible des conditions économiques pendant la période d’exécution des contrats. La méconnaissance de cette obligation constitue un manquement aux obligations de publicité et de mise en concurrence</w:t>
      </w:r>
      <w:r w:rsidR="00726E99">
        <w:rPr>
          <w:rFonts w:ascii="Arial Narrow" w:hAnsi="Arial Narrow" w:cs="Arial"/>
          <w:bCs/>
          <w:sz w:val="17"/>
          <w:szCs w:val="17"/>
        </w:rPr>
        <w:t xml:space="preserve"> susceptible d’entraîner l’annulation de la procédure de passation</w:t>
      </w:r>
      <w:r w:rsidRPr="008E0DAA">
        <w:rPr>
          <w:rFonts w:ascii="Arial Narrow" w:hAnsi="Arial Narrow" w:cs="Arial"/>
          <w:bCs/>
          <w:sz w:val="17"/>
          <w:szCs w:val="17"/>
        </w:rPr>
        <w:t xml:space="preserve"> (CE, 9 décembre 2009, Département de l’Eure, n° 328803). </w:t>
      </w:r>
    </w:p>
    <w:p w:rsidR="008E0DAA" w:rsidRPr="008E0DAA" w:rsidRDefault="008E0DAA" w:rsidP="008E0DAA">
      <w:pPr>
        <w:tabs>
          <w:tab w:val="num" w:pos="720"/>
        </w:tabs>
        <w:spacing w:before="120" w:after="120"/>
        <w:jc w:val="both"/>
        <w:rPr>
          <w:rFonts w:ascii="Arial Narrow" w:hAnsi="Arial Narrow" w:cs="Arial"/>
          <w:bCs/>
          <w:sz w:val="17"/>
          <w:szCs w:val="17"/>
        </w:rPr>
      </w:pPr>
      <w:r w:rsidRPr="008E0DAA">
        <w:rPr>
          <w:rFonts w:ascii="Arial Narrow" w:hAnsi="Arial Narrow" w:cs="Arial"/>
          <w:bCs/>
          <w:sz w:val="17"/>
          <w:szCs w:val="17"/>
        </w:rPr>
        <w:t xml:space="preserve">La clause de révision doit obligatoirement fixer la date d’établissement du prix initial, les modalités de calcul de la révision ainsi que la périodicité de la révision des prix (art. R2112-13 alinéa 3). Le rythme de la révision devra idéalement être fixé en fonction du rythme prévisible des fluctuations des prix de l’activité économique concernée. </w:t>
      </w:r>
    </w:p>
    <w:p w:rsidR="008E0DAA" w:rsidRPr="008E0DAA" w:rsidRDefault="008E0DAA" w:rsidP="008E0DAA">
      <w:pPr>
        <w:tabs>
          <w:tab w:val="num" w:pos="720"/>
        </w:tabs>
        <w:spacing w:before="120" w:after="120"/>
        <w:jc w:val="both"/>
        <w:rPr>
          <w:rFonts w:ascii="Arial Narrow" w:hAnsi="Arial Narrow" w:cs="Arial"/>
          <w:bCs/>
          <w:sz w:val="17"/>
          <w:szCs w:val="17"/>
        </w:rPr>
      </w:pPr>
      <w:r w:rsidRPr="008E0DAA">
        <w:rPr>
          <w:rFonts w:ascii="Arial Narrow" w:hAnsi="Arial Narrow" w:cs="Arial"/>
          <w:bCs/>
          <w:sz w:val="17"/>
          <w:szCs w:val="17"/>
        </w:rPr>
        <w:t>Le code de la commande publique fixe plusieurs modalités de calcul de la révis</w:t>
      </w:r>
      <w:r w:rsidR="00726E99">
        <w:rPr>
          <w:rFonts w:ascii="Arial Narrow" w:hAnsi="Arial Narrow" w:cs="Arial"/>
          <w:bCs/>
          <w:sz w:val="17"/>
          <w:szCs w:val="17"/>
        </w:rPr>
        <w:t>ion des prix. Le prix peut être</w:t>
      </w:r>
      <w:r w:rsidRPr="008E0DAA">
        <w:rPr>
          <w:rFonts w:ascii="Arial Narrow" w:hAnsi="Arial Narrow" w:cs="Arial"/>
          <w:bCs/>
          <w:sz w:val="17"/>
          <w:szCs w:val="17"/>
        </w:rPr>
        <w:t xml:space="preserve"> soit ajusté en fonction d’une référence, soit révisé par application d’une « formule représentative de l’évolution du coût de la prestation », ou encore une combinaison des deux. Les modalités pratiques de leur mise en œuvre ont, pour chacune de ces hypothèses, été précisées par le guide sur le prix des marchés publics de 2013</w:t>
      </w:r>
      <w:r w:rsidRPr="00412145">
        <w:rPr>
          <w:rFonts w:ascii="Arial Narrow" w:hAnsi="Arial Narrow" w:cs="Arial"/>
          <w:bCs/>
          <w:sz w:val="17"/>
          <w:szCs w:val="17"/>
          <w:vertAlign w:val="superscript"/>
        </w:rPr>
        <w:footnoteReference w:id="3"/>
      </w:r>
      <w:r w:rsidRPr="008E0DAA">
        <w:rPr>
          <w:rFonts w:ascii="Arial Narrow" w:hAnsi="Arial Narrow" w:cs="Arial"/>
          <w:bCs/>
          <w:sz w:val="17"/>
          <w:szCs w:val="17"/>
        </w:rPr>
        <w:t>.</w:t>
      </w:r>
    </w:p>
    <w:p w:rsidR="008E0DAA" w:rsidRPr="008E0DAA" w:rsidRDefault="008E0DAA" w:rsidP="008E0DAA">
      <w:pPr>
        <w:tabs>
          <w:tab w:val="num" w:pos="720"/>
        </w:tabs>
        <w:spacing w:before="120" w:after="120"/>
        <w:jc w:val="both"/>
        <w:rPr>
          <w:rFonts w:ascii="Arial Narrow" w:hAnsi="Arial Narrow" w:cs="Arial"/>
          <w:bCs/>
          <w:sz w:val="17"/>
          <w:szCs w:val="17"/>
        </w:rPr>
      </w:pPr>
      <w:r w:rsidRPr="008E0DAA">
        <w:rPr>
          <w:rFonts w:ascii="Arial Narrow" w:hAnsi="Arial Narrow" w:cs="Arial"/>
          <w:bCs/>
          <w:sz w:val="17"/>
          <w:szCs w:val="17"/>
        </w:rPr>
        <w:t>L’article R</w:t>
      </w:r>
      <w:r w:rsidR="00726E99">
        <w:rPr>
          <w:rFonts w:ascii="Arial Narrow" w:hAnsi="Arial Narrow" w:cs="Arial"/>
          <w:bCs/>
          <w:sz w:val="17"/>
          <w:szCs w:val="17"/>
        </w:rPr>
        <w:t>. </w:t>
      </w:r>
      <w:r w:rsidRPr="008E0DAA">
        <w:rPr>
          <w:rFonts w:ascii="Arial Narrow" w:hAnsi="Arial Narrow" w:cs="Arial"/>
          <w:bCs/>
          <w:sz w:val="17"/>
          <w:szCs w:val="17"/>
        </w:rPr>
        <w:t>2112-11 impose en outre, s’agissant des marchés conclus à prix ferme, une actualisation du prix si un délai supérieur à trois mois s'écoule entre la date à laquelle le soumissionnaire a fixé son prix dans l'offre et la date de début d'exécution des prestations.</w:t>
      </w:r>
    </w:p>
    <w:p w:rsidR="008E0DAA" w:rsidRPr="008E0DAA" w:rsidRDefault="008E0DAA" w:rsidP="008E0DAA">
      <w:pPr>
        <w:tabs>
          <w:tab w:val="num" w:pos="720"/>
        </w:tabs>
        <w:spacing w:before="120" w:after="120"/>
        <w:jc w:val="both"/>
        <w:rPr>
          <w:rFonts w:ascii="Arial Narrow" w:hAnsi="Arial Narrow" w:cs="Arial"/>
          <w:bCs/>
          <w:sz w:val="17"/>
          <w:szCs w:val="17"/>
        </w:rPr>
      </w:pPr>
      <w:r w:rsidRPr="008E0DAA">
        <w:rPr>
          <w:rFonts w:ascii="Arial Narrow" w:hAnsi="Arial Narrow" w:cs="Arial"/>
          <w:bCs/>
          <w:sz w:val="17"/>
          <w:szCs w:val="17"/>
        </w:rPr>
        <w:t xml:space="preserve">Les acheteurs doivent donc impérativement respecter ces obligations pour leurs projets de marchés et veiller à l’établissement de formules de révision ou d’actualisation de prix représentatives des différentes composantes du coût des prestations et de leurs facteurs d’évolution. </w:t>
      </w:r>
      <w:r w:rsidR="00726E99">
        <w:rPr>
          <w:rFonts w:ascii="Arial Narrow" w:hAnsi="Arial Narrow" w:cs="Arial"/>
          <w:bCs/>
          <w:sz w:val="17"/>
          <w:szCs w:val="17"/>
        </w:rPr>
        <w:t>Si des marchés ont été conclus sans respecter cette obligation et que des difficultés surviennent en cours d’exécution du contrat du fait de fortes fluctuations</w:t>
      </w:r>
      <w:r w:rsidRPr="008E0DAA">
        <w:rPr>
          <w:rFonts w:ascii="Arial Narrow" w:hAnsi="Arial Narrow" w:cs="Arial"/>
          <w:bCs/>
          <w:sz w:val="17"/>
          <w:szCs w:val="17"/>
        </w:rPr>
        <w:t>, l’acheteur est susceptible d’engager sa responsabilité</w:t>
      </w:r>
      <w:r w:rsidR="00726E99">
        <w:rPr>
          <w:rFonts w:ascii="Arial Narrow" w:hAnsi="Arial Narrow" w:cs="Arial"/>
          <w:bCs/>
          <w:sz w:val="17"/>
          <w:szCs w:val="17"/>
        </w:rPr>
        <w:t xml:space="preserve"> contractuelle</w:t>
      </w:r>
      <w:r w:rsidRPr="008E0DAA">
        <w:rPr>
          <w:rFonts w:ascii="Arial Narrow" w:hAnsi="Arial Narrow" w:cs="Arial"/>
          <w:bCs/>
          <w:sz w:val="17"/>
          <w:szCs w:val="17"/>
        </w:rPr>
        <w:t>.</w:t>
      </w:r>
    </w:p>
    <w:p w:rsidR="008E0DAA" w:rsidRPr="008E0DAA" w:rsidRDefault="008E0DAA" w:rsidP="008E0DAA">
      <w:pPr>
        <w:tabs>
          <w:tab w:val="num" w:pos="720"/>
        </w:tabs>
        <w:spacing w:before="120" w:after="120"/>
        <w:jc w:val="both"/>
        <w:rPr>
          <w:rFonts w:ascii="Arial Narrow" w:hAnsi="Arial Narrow" w:cs="Arial"/>
          <w:bCs/>
          <w:sz w:val="17"/>
          <w:szCs w:val="17"/>
        </w:rPr>
      </w:pPr>
      <w:r w:rsidRPr="008E0DAA">
        <w:rPr>
          <w:rFonts w:ascii="Arial Narrow" w:hAnsi="Arial Narrow" w:cs="Arial"/>
          <w:bCs/>
          <w:sz w:val="17"/>
          <w:szCs w:val="17"/>
        </w:rPr>
        <w:lastRenderedPageBreak/>
        <w:t>Le fait que certains segments d’achat ne soient pas habituellement soumis à de fortes fluctuations des prix ou des coûts ne prémunit pas contre de tels événements qui, lorsqu’ils surviennent, peuvent aussi bien mettre les entreprises titulaires des marchés en difficulté que conduire les acheteurs à payer plus cher.</w:t>
      </w:r>
    </w:p>
    <w:p w:rsidR="008E0DAA" w:rsidRPr="008E0DAA" w:rsidRDefault="008E0DAA" w:rsidP="008E0DAA">
      <w:pPr>
        <w:tabs>
          <w:tab w:val="num" w:pos="720"/>
        </w:tabs>
        <w:spacing w:before="120" w:after="120"/>
        <w:jc w:val="both"/>
        <w:rPr>
          <w:rFonts w:ascii="Arial Narrow" w:hAnsi="Arial Narrow" w:cs="Arial"/>
          <w:bCs/>
          <w:sz w:val="17"/>
          <w:szCs w:val="17"/>
        </w:rPr>
      </w:pPr>
      <w:r w:rsidRPr="008E0DAA">
        <w:rPr>
          <w:rFonts w:ascii="Arial Narrow" w:hAnsi="Arial Narrow" w:cs="Arial"/>
          <w:bCs/>
          <w:sz w:val="17"/>
          <w:szCs w:val="17"/>
        </w:rPr>
        <w:t>Il est donc recommandé de prévoir des prix révisables pour les marchés répondant à des besoins continus ou réguliers et conclus pour une ou plusieurs années, tels que les accords-cadres à bons de commandes ou à marchés subséquents. Pour les marchés conclus à prix fermes, il est recommandé de prévoir un délai d’actualisation du prix inférieur au maximum de troi</w:t>
      </w:r>
      <w:r w:rsidR="00726E99">
        <w:rPr>
          <w:rFonts w:ascii="Arial Narrow" w:hAnsi="Arial Narrow" w:cs="Arial"/>
          <w:bCs/>
          <w:sz w:val="17"/>
          <w:szCs w:val="17"/>
        </w:rPr>
        <w:t>s mois mentionné à l’article R. </w:t>
      </w:r>
      <w:r w:rsidRPr="008E0DAA">
        <w:rPr>
          <w:rFonts w:ascii="Arial Narrow" w:hAnsi="Arial Narrow" w:cs="Arial"/>
          <w:bCs/>
          <w:sz w:val="17"/>
          <w:szCs w:val="17"/>
        </w:rPr>
        <w:t>2112-11.</w:t>
      </w:r>
    </w:p>
    <w:p w:rsidR="008E0DAA" w:rsidRPr="008E0DAA" w:rsidRDefault="008E0DAA" w:rsidP="008E0DAA">
      <w:pPr>
        <w:pStyle w:val="Titre4"/>
        <w:keepNext/>
        <w:keepLines/>
        <w:numPr>
          <w:ilvl w:val="1"/>
          <w:numId w:val="4"/>
        </w:numPr>
        <w:tabs>
          <w:tab w:val="left" w:pos="760"/>
        </w:tabs>
        <w:spacing w:before="480" w:after="60" w:line="170" w:lineRule="exact"/>
        <w:ind w:left="1224" w:hanging="504"/>
        <w:rPr>
          <w:rFonts w:eastAsia="Calibri" w:cs="Times New Roman"/>
          <w:b/>
          <w:bCs/>
          <w:i w:val="0"/>
          <w:color w:val="7030A0"/>
          <w:sz w:val="17"/>
          <w:lang w:eastAsia="en-US"/>
        </w:rPr>
      </w:pPr>
      <w:r w:rsidRPr="008E0DAA">
        <w:rPr>
          <w:rFonts w:eastAsia="Calibri" w:cs="Times New Roman"/>
          <w:b/>
          <w:bCs/>
          <w:i w:val="0"/>
          <w:color w:val="7030A0"/>
          <w:sz w:val="17"/>
          <w:lang w:eastAsia="en-US"/>
        </w:rPr>
        <w:t>Les clauses relatives à la gestion des délais d’exécution</w:t>
      </w:r>
    </w:p>
    <w:p w:rsidR="008E0DAA" w:rsidRPr="008E0DAA" w:rsidRDefault="008E0DAA" w:rsidP="008E0DAA">
      <w:pPr>
        <w:tabs>
          <w:tab w:val="num" w:pos="720"/>
        </w:tabs>
        <w:spacing w:before="120" w:after="120"/>
        <w:jc w:val="both"/>
        <w:rPr>
          <w:rFonts w:ascii="Arial Narrow" w:hAnsi="Arial Narrow" w:cs="Arial"/>
          <w:bCs/>
          <w:sz w:val="17"/>
          <w:szCs w:val="17"/>
        </w:rPr>
      </w:pPr>
      <w:r w:rsidRPr="008E0DAA">
        <w:rPr>
          <w:rFonts w:ascii="Arial Narrow" w:hAnsi="Arial Narrow" w:cs="Arial"/>
          <w:bCs/>
          <w:sz w:val="17"/>
          <w:szCs w:val="17"/>
        </w:rPr>
        <w:t xml:space="preserve">Dans un contexte de tension sur les approvisionnements, les acheteurs pourraient utilement prévoir dans leurs marchés à venir des clauses exonérant le titulaire de pénalités de retard et prévoyant la prolongation des délais d’exécution en cas de circonstances, échappant à la responsabilité du titulaire et le  mettant dans l’impossibilité de respecter les délais contractuels. </w:t>
      </w:r>
    </w:p>
    <w:sectPr w:rsidR="008E0DAA" w:rsidRPr="008E0DAA" w:rsidSect="00FA3C96">
      <w:headerReference w:type="default" r:id="rId8"/>
      <w:footerReference w:type="default" r:id="rId9"/>
      <w:type w:val="continuous"/>
      <w:pgSz w:w="10319" w:h="14571" w:code="13"/>
      <w:pgMar w:top="2410" w:right="1388" w:bottom="1021" w:left="1418" w:header="709"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368" w:rsidRDefault="00D97368">
      <w:r>
        <w:separator/>
      </w:r>
    </w:p>
  </w:endnote>
  <w:endnote w:type="continuationSeparator" w:id="0">
    <w:p w:rsidR="00D97368" w:rsidRDefault="00D97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112" w:rsidRPr="00EB3147" w:rsidRDefault="00805112" w:rsidP="00EB3147">
    <w:pPr>
      <w:rPr>
        <w:rStyle w:val="Numrodepage"/>
        <w:sz w:val="16"/>
        <w:szCs w:val="18"/>
      </w:rPr>
    </w:pPr>
    <w:r w:rsidRPr="00EB3147">
      <w:rPr>
        <w:rFonts w:ascii="Verdana" w:hAnsi="Verdana"/>
        <w:i/>
        <w:sz w:val="16"/>
        <w:szCs w:val="18"/>
      </w:rPr>
      <w:t xml:space="preserve">Mise à jour le </w:t>
    </w:r>
    <w:r w:rsidR="00EB3147" w:rsidRPr="00EB3147">
      <w:rPr>
        <w:rFonts w:ascii="Verdana" w:hAnsi="Verdana"/>
        <w:i/>
        <w:sz w:val="16"/>
        <w:szCs w:val="18"/>
      </w:rPr>
      <w:t>27/05</w:t>
    </w:r>
    <w:r w:rsidR="00917064" w:rsidRPr="00EB3147">
      <w:rPr>
        <w:rFonts w:ascii="Verdana" w:hAnsi="Verdana"/>
        <w:i/>
        <w:sz w:val="16"/>
        <w:szCs w:val="18"/>
      </w:rPr>
      <w:t>/2021</w:t>
    </w:r>
    <w:r w:rsidR="00EB3147" w:rsidRPr="00EB3147">
      <w:rPr>
        <w:rFonts w:ascii="Verdana" w:hAnsi="Verdana"/>
        <w:i/>
        <w:sz w:val="16"/>
        <w:szCs w:val="18"/>
      </w:rPr>
      <w:t xml:space="preserve"> </w:t>
    </w:r>
    <w:r w:rsidR="00EB3147" w:rsidRPr="00EB3147">
      <w:rPr>
        <w:rFonts w:ascii="Verdana" w:hAnsi="Verdana"/>
        <w:i/>
        <w:sz w:val="16"/>
        <w:szCs w:val="18"/>
      </w:rPr>
      <w:tab/>
    </w:r>
    <w:r w:rsidR="00EB3147" w:rsidRPr="00EB3147">
      <w:rPr>
        <w:rFonts w:ascii="Verdana" w:hAnsi="Verdana"/>
        <w:i/>
        <w:sz w:val="16"/>
        <w:szCs w:val="18"/>
      </w:rPr>
      <w:tab/>
    </w:r>
    <w:r w:rsidR="00EB3147" w:rsidRPr="00EB3147">
      <w:rPr>
        <w:rFonts w:ascii="Verdana" w:hAnsi="Verdana"/>
        <w:i/>
        <w:sz w:val="16"/>
        <w:szCs w:val="18"/>
      </w:rPr>
      <w:tab/>
    </w:r>
    <w:r w:rsidR="00EB3147" w:rsidRPr="00EB3147">
      <w:rPr>
        <w:rFonts w:ascii="Verdana" w:hAnsi="Verdana"/>
        <w:i/>
        <w:sz w:val="16"/>
        <w:szCs w:val="18"/>
      </w:rPr>
      <w:tab/>
    </w:r>
    <w:r w:rsidR="00EB3147" w:rsidRPr="00EB3147">
      <w:rPr>
        <w:rFonts w:ascii="Verdana" w:hAnsi="Verdana"/>
        <w:i/>
        <w:sz w:val="16"/>
        <w:szCs w:val="18"/>
      </w:rPr>
      <w:tab/>
    </w:r>
    <w:r w:rsidR="00EB3147" w:rsidRPr="00EB3147">
      <w:rPr>
        <w:rFonts w:ascii="Verdana" w:hAnsi="Verdana"/>
        <w:i/>
        <w:sz w:val="16"/>
        <w:szCs w:val="18"/>
      </w:rPr>
      <w:tab/>
    </w:r>
    <w:r w:rsidR="00EB3147" w:rsidRPr="00EB3147">
      <w:rPr>
        <w:rFonts w:ascii="Verdana" w:hAnsi="Verdana"/>
        <w:i/>
        <w:sz w:val="16"/>
        <w:szCs w:val="18"/>
      </w:rPr>
      <w:tab/>
    </w:r>
    <w:r w:rsidRPr="00EB3147">
      <w:rPr>
        <w:rFonts w:ascii="Verdana" w:hAnsi="Verdana"/>
        <w:sz w:val="16"/>
        <w:szCs w:val="18"/>
      </w:rPr>
      <w:fldChar w:fldCharType="begin"/>
    </w:r>
    <w:r w:rsidRPr="00EB3147">
      <w:rPr>
        <w:rFonts w:ascii="Verdana" w:hAnsi="Verdana"/>
        <w:sz w:val="16"/>
        <w:szCs w:val="18"/>
      </w:rPr>
      <w:instrText xml:space="preserve"> PAGE </w:instrText>
    </w:r>
    <w:r w:rsidRPr="00EB3147">
      <w:rPr>
        <w:rFonts w:ascii="Verdana" w:hAnsi="Verdana"/>
        <w:sz w:val="16"/>
        <w:szCs w:val="18"/>
      </w:rPr>
      <w:fldChar w:fldCharType="separate"/>
    </w:r>
    <w:r w:rsidR="00137901">
      <w:rPr>
        <w:rFonts w:ascii="Verdana" w:hAnsi="Verdana"/>
        <w:noProof/>
        <w:sz w:val="16"/>
        <w:szCs w:val="18"/>
      </w:rPr>
      <w:t>1</w:t>
    </w:r>
    <w:r w:rsidRPr="00EB3147">
      <w:rPr>
        <w:rFonts w:ascii="Verdana" w:hAnsi="Verdana"/>
        <w:sz w:val="16"/>
        <w:szCs w:val="18"/>
      </w:rPr>
      <w:fldChar w:fldCharType="end"/>
    </w:r>
    <w:r w:rsidRPr="00EB3147">
      <w:rPr>
        <w:rFonts w:ascii="Verdana" w:hAnsi="Verdana"/>
        <w:sz w:val="16"/>
        <w:szCs w:val="18"/>
      </w:rPr>
      <w:t>/</w:t>
    </w:r>
    <w:r w:rsidRPr="00EB3147">
      <w:rPr>
        <w:rFonts w:ascii="Verdana" w:hAnsi="Verdana"/>
        <w:sz w:val="16"/>
        <w:szCs w:val="18"/>
      </w:rPr>
      <w:fldChar w:fldCharType="begin"/>
    </w:r>
    <w:r w:rsidRPr="00EB3147">
      <w:rPr>
        <w:rFonts w:ascii="Verdana" w:hAnsi="Verdana"/>
        <w:sz w:val="16"/>
        <w:szCs w:val="18"/>
      </w:rPr>
      <w:instrText xml:space="preserve"> NUMPAGES </w:instrText>
    </w:r>
    <w:r w:rsidRPr="00EB3147">
      <w:rPr>
        <w:rFonts w:ascii="Verdana" w:hAnsi="Verdana"/>
        <w:sz w:val="16"/>
        <w:szCs w:val="18"/>
      </w:rPr>
      <w:fldChar w:fldCharType="separate"/>
    </w:r>
    <w:r w:rsidR="00137901">
      <w:rPr>
        <w:rFonts w:ascii="Verdana" w:hAnsi="Verdana"/>
        <w:noProof/>
        <w:sz w:val="16"/>
        <w:szCs w:val="18"/>
      </w:rPr>
      <w:t>4</w:t>
    </w:r>
    <w:r w:rsidRPr="00EB3147">
      <w:rPr>
        <w:rFonts w:ascii="Verdana" w:hAnsi="Verdana"/>
        <w:sz w:val="1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368" w:rsidRDefault="00D97368">
      <w:r>
        <w:separator/>
      </w:r>
    </w:p>
  </w:footnote>
  <w:footnote w:type="continuationSeparator" w:id="0">
    <w:p w:rsidR="00D97368" w:rsidRDefault="00D97368">
      <w:r>
        <w:continuationSeparator/>
      </w:r>
    </w:p>
  </w:footnote>
  <w:footnote w:id="1">
    <w:p w:rsidR="001E238D" w:rsidRPr="008E0DAA" w:rsidRDefault="001E238D" w:rsidP="001E238D">
      <w:pPr>
        <w:pStyle w:val="Notedebasdepage"/>
        <w:jc w:val="both"/>
        <w:rPr>
          <w:rFonts w:ascii="Arial Narrow" w:hAnsi="Arial Narrow"/>
          <w:sz w:val="16"/>
        </w:rPr>
      </w:pPr>
      <w:r w:rsidRPr="008E0DAA">
        <w:rPr>
          <w:rStyle w:val="Appelnotedebasdep"/>
          <w:rFonts w:ascii="Arial Narrow" w:hAnsi="Arial Narrow"/>
          <w:sz w:val="16"/>
        </w:rPr>
        <w:footnoteRef/>
      </w:r>
      <w:r w:rsidRPr="008E0DAA">
        <w:rPr>
          <w:rFonts w:ascii="Arial Narrow" w:hAnsi="Arial Narrow"/>
          <w:sz w:val="16"/>
        </w:rPr>
        <w:t xml:space="preserve"> </w:t>
      </w:r>
      <w:hyperlink r:id="rId1" w:history="1">
        <w:r w:rsidRPr="008E0DAA">
          <w:rPr>
            <w:rStyle w:val="Lienhypertexte"/>
            <w:rFonts w:ascii="Arial Narrow" w:hAnsi="Arial Narrow"/>
            <w:sz w:val="16"/>
          </w:rPr>
          <w:t>https://www.economie.gouv.fr/approvisionnement-matieres-premieres-mediation-batiment-travaux-publics#</w:t>
        </w:r>
      </w:hyperlink>
    </w:p>
  </w:footnote>
  <w:footnote w:id="2">
    <w:p w:rsidR="001E238D" w:rsidRPr="008E0DAA" w:rsidRDefault="001E238D" w:rsidP="001E238D">
      <w:pPr>
        <w:pStyle w:val="Notedebasdepage"/>
        <w:jc w:val="both"/>
        <w:rPr>
          <w:rFonts w:ascii="Arial Narrow" w:hAnsi="Arial Narrow"/>
          <w:sz w:val="16"/>
        </w:rPr>
      </w:pPr>
      <w:r w:rsidRPr="008E0DAA">
        <w:rPr>
          <w:rStyle w:val="Appelnotedebasdep"/>
          <w:rFonts w:ascii="Arial Narrow" w:hAnsi="Arial Narrow"/>
          <w:sz w:val="16"/>
        </w:rPr>
        <w:footnoteRef/>
      </w:r>
      <w:r w:rsidRPr="008E0DAA">
        <w:rPr>
          <w:rFonts w:ascii="Arial Narrow" w:hAnsi="Arial Narrow"/>
          <w:sz w:val="16"/>
        </w:rPr>
        <w:t xml:space="preserve"> Dans une décision du 20 décembre 2017, </w:t>
      </w:r>
      <w:r w:rsidRPr="008E0DAA">
        <w:rPr>
          <w:rFonts w:ascii="Arial Narrow" w:hAnsi="Arial Narrow"/>
          <w:i/>
          <w:sz w:val="16"/>
        </w:rPr>
        <w:t>Société Area Impianti</w:t>
      </w:r>
      <w:r w:rsidRPr="008E0DAA">
        <w:rPr>
          <w:rFonts w:ascii="Arial Narrow" w:hAnsi="Arial Narrow"/>
          <w:sz w:val="16"/>
        </w:rPr>
        <w:t xml:space="preserve">, n° 408562, le Conseil d’Etat a admis une modification des règles de détermination du prix initial, mais cette solution était justifiée par des circonstances particulières : la modification est intervenue en fin d’exécution du marché (l’essentiel des prestations avaient donc déjà été payées), et dans un sens favorable à l’acheteur. </w:t>
      </w:r>
    </w:p>
  </w:footnote>
  <w:footnote w:id="3">
    <w:p w:rsidR="008E0DAA" w:rsidRPr="008E0DAA" w:rsidRDefault="008E0DAA" w:rsidP="008E0DAA">
      <w:pPr>
        <w:pStyle w:val="Notedebasdepage"/>
        <w:rPr>
          <w:rFonts w:ascii="Arial Narrow" w:hAnsi="Arial Narrow"/>
          <w:sz w:val="16"/>
        </w:rPr>
      </w:pPr>
      <w:r>
        <w:rPr>
          <w:rStyle w:val="Appelnotedebasdep"/>
        </w:rPr>
        <w:footnoteRef/>
      </w:r>
      <w:r>
        <w:rPr>
          <w:rStyle w:val="Lienhypertexte"/>
        </w:rPr>
        <w:t xml:space="preserve"> </w:t>
      </w:r>
      <w:hyperlink r:id="rId2" w:history="1">
        <w:r w:rsidRPr="003B6424">
          <w:rPr>
            <w:rStyle w:val="Lienhypertexte"/>
            <w:rFonts w:ascii="Arial Narrow" w:hAnsi="Arial Narrow"/>
            <w:sz w:val="16"/>
          </w:rPr>
          <w:t>https://www.economie.gouv.fr/files/files/directions_services/daj/marches_publics/oeap/concertation/autres_groupes_travail/ guide-prix-dans-mp.pdf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112" w:rsidRPr="009A3241" w:rsidRDefault="00E86FC0" w:rsidP="00FA3C96">
    <w:pPr>
      <w:rPr>
        <w:sz w:val="12"/>
        <w:szCs w:val="12"/>
      </w:rPr>
    </w:pPr>
    <w:r>
      <w:rPr>
        <w:noProof/>
      </w:rPr>
      <w:drawing>
        <wp:inline distT="0" distB="0" distL="0" distR="0" wp14:anchorId="351695BE" wp14:editId="6305FFFC">
          <wp:extent cx="4770755" cy="912495"/>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770755" cy="9124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EE2E810"/>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FA28C5A"/>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4043FA5"/>
    <w:multiLevelType w:val="hybridMultilevel"/>
    <w:tmpl w:val="B3D8FE88"/>
    <w:lvl w:ilvl="0" w:tplc="1BEEF98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8D4842"/>
    <w:multiLevelType w:val="multilevel"/>
    <w:tmpl w:val="BB286B5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94236FE"/>
    <w:multiLevelType w:val="multilevel"/>
    <w:tmpl w:val="5DC01BDA"/>
    <w:lvl w:ilvl="0">
      <w:start w:val="1"/>
      <w:numFmt w:val="decimal"/>
      <w:lvlText w:val="%1."/>
      <w:lvlJc w:val="left"/>
      <w:pPr>
        <w:tabs>
          <w:tab w:val="num" w:pos="360"/>
        </w:tabs>
        <w:ind w:left="0" w:firstLine="0"/>
      </w:pPr>
      <w:rPr>
        <w:rFonts w:hint="default"/>
        <w:u w:val="none"/>
      </w:rPr>
    </w:lvl>
    <w:lvl w:ilvl="1">
      <w:start w:val="1"/>
      <w:numFmt w:val="decimal"/>
      <w:lvlText w:val="%1.%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pStyle w:val="Titre7"/>
      <w:lvlText w:val="(%7)"/>
      <w:lvlJc w:val="left"/>
      <w:pPr>
        <w:tabs>
          <w:tab w:val="num" w:pos="4680"/>
        </w:tabs>
        <w:ind w:left="4320" w:firstLine="0"/>
      </w:pPr>
      <w:rPr>
        <w:rFonts w:hint="default"/>
      </w:rPr>
    </w:lvl>
    <w:lvl w:ilvl="7">
      <w:start w:val="1"/>
      <w:numFmt w:val="lowerLetter"/>
      <w:pStyle w:val="Titre8"/>
      <w:lvlText w:val="(%8)"/>
      <w:lvlJc w:val="left"/>
      <w:pPr>
        <w:tabs>
          <w:tab w:val="num" w:pos="5400"/>
        </w:tabs>
        <w:ind w:left="5040" w:firstLine="0"/>
      </w:pPr>
      <w:rPr>
        <w:rFonts w:hint="default"/>
      </w:rPr>
    </w:lvl>
    <w:lvl w:ilvl="8">
      <w:start w:val="1"/>
      <w:numFmt w:val="lowerRoman"/>
      <w:pStyle w:val="Titre9"/>
      <w:lvlText w:val="(%9)"/>
      <w:lvlJc w:val="left"/>
      <w:pPr>
        <w:tabs>
          <w:tab w:val="num" w:pos="6120"/>
        </w:tabs>
        <w:ind w:left="5760" w:firstLine="0"/>
      </w:pPr>
      <w:rPr>
        <w:rFonts w:hint="default"/>
      </w:rPr>
    </w:lvl>
  </w:abstractNum>
  <w:abstractNum w:abstractNumId="5" w15:restartNumberingAfterBreak="0">
    <w:nsid w:val="1B35780C"/>
    <w:multiLevelType w:val="multilevel"/>
    <w:tmpl w:val="661A80B8"/>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5863268"/>
    <w:multiLevelType w:val="hybridMultilevel"/>
    <w:tmpl w:val="7DBAEA2E"/>
    <w:lvl w:ilvl="0" w:tplc="C9A69188">
      <w:start w:val="7"/>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E91403"/>
    <w:multiLevelType w:val="hybridMultilevel"/>
    <w:tmpl w:val="58CE32D6"/>
    <w:lvl w:ilvl="0" w:tplc="2C78482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7212DCE"/>
    <w:multiLevelType w:val="hybridMultilevel"/>
    <w:tmpl w:val="4D40F5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E297A29"/>
    <w:multiLevelType w:val="multilevel"/>
    <w:tmpl w:val="850CC0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0" w15:restartNumberingAfterBreak="0">
    <w:nsid w:val="40DC7E74"/>
    <w:multiLevelType w:val="hybridMultilevel"/>
    <w:tmpl w:val="019C0986"/>
    <w:lvl w:ilvl="0" w:tplc="EAF0B00A">
      <w:start w:val="3"/>
      <w:numFmt w:val="bullet"/>
      <w:lvlText w:val="-"/>
      <w:lvlJc w:val="left"/>
      <w:pPr>
        <w:tabs>
          <w:tab w:val="num" w:pos="720"/>
        </w:tabs>
        <w:ind w:left="720" w:hanging="360"/>
      </w:pPr>
      <w:rPr>
        <w:rFonts w:ascii="Times New Roman" w:eastAsia="Times New Roman" w:hAnsi="Times New Roman" w:cs="Times New Roman" w:hint="default"/>
      </w:rPr>
    </w:lvl>
    <w:lvl w:ilvl="1" w:tplc="9BDCE060">
      <w:start w:val="3"/>
      <w:numFmt w:val="bullet"/>
      <w:lvlText w:val=""/>
      <w:lvlJc w:val="left"/>
      <w:pPr>
        <w:tabs>
          <w:tab w:val="num" w:pos="1440"/>
        </w:tabs>
        <w:ind w:left="1440" w:hanging="360"/>
      </w:pPr>
      <w:rPr>
        <w:rFonts w:ascii="Symbol" w:eastAsia="Times New Roman" w:hAnsi="Symbol"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513A3F"/>
    <w:multiLevelType w:val="hybridMultilevel"/>
    <w:tmpl w:val="B9F6B84A"/>
    <w:lvl w:ilvl="0" w:tplc="4A38DC96">
      <w:start w:val="2010"/>
      <w:numFmt w:val="bullet"/>
      <w:lvlText w:val="-"/>
      <w:lvlJc w:val="left"/>
      <w:pPr>
        <w:tabs>
          <w:tab w:val="num" w:pos="720"/>
        </w:tabs>
        <w:ind w:left="720" w:hanging="360"/>
      </w:pPr>
      <w:rPr>
        <w:rFonts w:ascii="Arial" w:eastAsia="Times New Roman" w:hAnsi="Arial" w:cs="Arial" w:hint="default"/>
      </w:rPr>
    </w:lvl>
    <w:lvl w:ilvl="1" w:tplc="EAF0B00A">
      <w:start w:val="3"/>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00689B"/>
    <w:multiLevelType w:val="hybridMultilevel"/>
    <w:tmpl w:val="70528490"/>
    <w:lvl w:ilvl="0" w:tplc="C400BF18">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E2A29BA"/>
    <w:multiLevelType w:val="hybridMultilevel"/>
    <w:tmpl w:val="D888584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BC2111"/>
    <w:multiLevelType w:val="hybridMultilevel"/>
    <w:tmpl w:val="37760E7A"/>
    <w:lvl w:ilvl="0" w:tplc="308E0878">
      <w:numFmt w:val="bullet"/>
      <w:lvlText w:val="-"/>
      <w:lvlJc w:val="left"/>
      <w:pPr>
        <w:tabs>
          <w:tab w:val="num" w:pos="1548"/>
        </w:tabs>
        <w:ind w:left="1548" w:hanging="84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720C17DF"/>
    <w:multiLevelType w:val="hybridMultilevel"/>
    <w:tmpl w:val="ADB207DE"/>
    <w:lvl w:ilvl="0" w:tplc="2CD4334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29F0A3E"/>
    <w:multiLevelType w:val="hybridMultilevel"/>
    <w:tmpl w:val="3A44CE7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2FD2D90"/>
    <w:multiLevelType w:val="hybridMultilevel"/>
    <w:tmpl w:val="5352C6D2"/>
    <w:lvl w:ilvl="0" w:tplc="040C0001">
      <w:start w:val="2"/>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4BE6A0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0"/>
  </w:num>
  <w:num w:numId="4">
    <w:abstractNumId w:val="5"/>
  </w:num>
  <w:num w:numId="5">
    <w:abstractNumId w:val="13"/>
  </w:num>
  <w:num w:numId="6">
    <w:abstractNumId w:val="6"/>
  </w:num>
  <w:num w:numId="7">
    <w:abstractNumId w:val="3"/>
  </w:num>
  <w:num w:numId="8">
    <w:abstractNumId w:val="10"/>
  </w:num>
  <w:num w:numId="9">
    <w:abstractNumId w:val="11"/>
  </w:num>
  <w:num w:numId="10">
    <w:abstractNumId w:val="18"/>
  </w:num>
  <w:num w:numId="11">
    <w:abstractNumId w:val="5"/>
  </w:num>
  <w:num w:numId="12">
    <w:abstractNumId w:val="5"/>
  </w:num>
  <w:num w:numId="13">
    <w:abstractNumId w:val="5"/>
  </w:num>
  <w:num w:numId="14">
    <w:abstractNumId w:val="14"/>
  </w:num>
  <w:num w:numId="15">
    <w:abstractNumId w:val="5"/>
  </w:num>
  <w:num w:numId="16">
    <w:abstractNumId w:val="5"/>
  </w:num>
  <w:num w:numId="17">
    <w:abstractNumId w:val="5"/>
  </w:num>
  <w:num w:numId="18">
    <w:abstractNumId w:val="5"/>
  </w:num>
  <w:num w:numId="19">
    <w:abstractNumId w:val="2"/>
  </w:num>
  <w:num w:numId="20">
    <w:abstractNumId w:val="7"/>
  </w:num>
  <w:num w:numId="21">
    <w:abstractNumId w:val="8"/>
  </w:num>
  <w:num w:numId="22">
    <w:abstractNumId w:val="9"/>
  </w:num>
  <w:num w:numId="23">
    <w:abstractNumId w:val="17"/>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2"/>
  </w:num>
  <w:num w:numId="28">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FF1"/>
    <w:rsid w:val="000016D2"/>
    <w:rsid w:val="00001CEA"/>
    <w:rsid w:val="00005822"/>
    <w:rsid w:val="00005F3A"/>
    <w:rsid w:val="000079C8"/>
    <w:rsid w:val="00011573"/>
    <w:rsid w:val="00012ADA"/>
    <w:rsid w:val="00013698"/>
    <w:rsid w:val="00016C3B"/>
    <w:rsid w:val="00017F1C"/>
    <w:rsid w:val="00020840"/>
    <w:rsid w:val="000221AF"/>
    <w:rsid w:val="000239C0"/>
    <w:rsid w:val="00023CBB"/>
    <w:rsid w:val="00024B65"/>
    <w:rsid w:val="00025EB4"/>
    <w:rsid w:val="0002719F"/>
    <w:rsid w:val="00030F31"/>
    <w:rsid w:val="000334EB"/>
    <w:rsid w:val="00033E7B"/>
    <w:rsid w:val="00035180"/>
    <w:rsid w:val="00035607"/>
    <w:rsid w:val="00035928"/>
    <w:rsid w:val="00035E85"/>
    <w:rsid w:val="00041FCB"/>
    <w:rsid w:val="00042D6A"/>
    <w:rsid w:val="000431DF"/>
    <w:rsid w:val="000446E5"/>
    <w:rsid w:val="00046C2F"/>
    <w:rsid w:val="00046F96"/>
    <w:rsid w:val="00047560"/>
    <w:rsid w:val="000520E8"/>
    <w:rsid w:val="00052A98"/>
    <w:rsid w:val="00054225"/>
    <w:rsid w:val="00054842"/>
    <w:rsid w:val="00054EBD"/>
    <w:rsid w:val="00054ED2"/>
    <w:rsid w:val="000553D5"/>
    <w:rsid w:val="000556DA"/>
    <w:rsid w:val="00056847"/>
    <w:rsid w:val="00060528"/>
    <w:rsid w:val="00061ABE"/>
    <w:rsid w:val="00062143"/>
    <w:rsid w:val="0006266A"/>
    <w:rsid w:val="00063362"/>
    <w:rsid w:val="00064B6E"/>
    <w:rsid w:val="00064FF0"/>
    <w:rsid w:val="00065665"/>
    <w:rsid w:val="00066E4F"/>
    <w:rsid w:val="00073880"/>
    <w:rsid w:val="000754C7"/>
    <w:rsid w:val="000755E9"/>
    <w:rsid w:val="000769CD"/>
    <w:rsid w:val="0008117B"/>
    <w:rsid w:val="00082BB4"/>
    <w:rsid w:val="000838FD"/>
    <w:rsid w:val="00084877"/>
    <w:rsid w:val="00085844"/>
    <w:rsid w:val="00085EC3"/>
    <w:rsid w:val="00086067"/>
    <w:rsid w:val="00086429"/>
    <w:rsid w:val="00093618"/>
    <w:rsid w:val="000956EF"/>
    <w:rsid w:val="0009766C"/>
    <w:rsid w:val="000978C5"/>
    <w:rsid w:val="000A1F55"/>
    <w:rsid w:val="000A246B"/>
    <w:rsid w:val="000A2AD6"/>
    <w:rsid w:val="000A30AA"/>
    <w:rsid w:val="000A3AB7"/>
    <w:rsid w:val="000A49F7"/>
    <w:rsid w:val="000A5AF2"/>
    <w:rsid w:val="000A65F1"/>
    <w:rsid w:val="000A7A40"/>
    <w:rsid w:val="000B0C38"/>
    <w:rsid w:val="000B2D03"/>
    <w:rsid w:val="000B4F1A"/>
    <w:rsid w:val="000B5DAA"/>
    <w:rsid w:val="000B6882"/>
    <w:rsid w:val="000B73A1"/>
    <w:rsid w:val="000B7D34"/>
    <w:rsid w:val="000C19AC"/>
    <w:rsid w:val="000C1EF5"/>
    <w:rsid w:val="000C2DA3"/>
    <w:rsid w:val="000C2DC8"/>
    <w:rsid w:val="000C2F7B"/>
    <w:rsid w:val="000C33B6"/>
    <w:rsid w:val="000C37BD"/>
    <w:rsid w:val="000C3872"/>
    <w:rsid w:val="000C71CB"/>
    <w:rsid w:val="000D1316"/>
    <w:rsid w:val="000D133C"/>
    <w:rsid w:val="000D20F2"/>
    <w:rsid w:val="000D3534"/>
    <w:rsid w:val="000D4A39"/>
    <w:rsid w:val="000D54F7"/>
    <w:rsid w:val="000D55E3"/>
    <w:rsid w:val="000D5A14"/>
    <w:rsid w:val="000D5BD5"/>
    <w:rsid w:val="000D5E18"/>
    <w:rsid w:val="000D7A77"/>
    <w:rsid w:val="000E0F0B"/>
    <w:rsid w:val="000E15B8"/>
    <w:rsid w:val="000E2B54"/>
    <w:rsid w:val="000E3651"/>
    <w:rsid w:val="000E4AE0"/>
    <w:rsid w:val="000E7A4A"/>
    <w:rsid w:val="000E7D51"/>
    <w:rsid w:val="000F3C33"/>
    <w:rsid w:val="000F46D7"/>
    <w:rsid w:val="000F75DA"/>
    <w:rsid w:val="000F783B"/>
    <w:rsid w:val="0010064B"/>
    <w:rsid w:val="001014FC"/>
    <w:rsid w:val="0010403F"/>
    <w:rsid w:val="00107558"/>
    <w:rsid w:val="001103AF"/>
    <w:rsid w:val="00112F05"/>
    <w:rsid w:val="0011456D"/>
    <w:rsid w:val="0011480C"/>
    <w:rsid w:val="00115B71"/>
    <w:rsid w:val="0012007A"/>
    <w:rsid w:val="001203FA"/>
    <w:rsid w:val="001214F7"/>
    <w:rsid w:val="00121A2E"/>
    <w:rsid w:val="00122F70"/>
    <w:rsid w:val="00123BCB"/>
    <w:rsid w:val="0012422A"/>
    <w:rsid w:val="00130872"/>
    <w:rsid w:val="001311AB"/>
    <w:rsid w:val="0013152F"/>
    <w:rsid w:val="00133200"/>
    <w:rsid w:val="00135F8E"/>
    <w:rsid w:val="001361C7"/>
    <w:rsid w:val="0013709D"/>
    <w:rsid w:val="00137901"/>
    <w:rsid w:val="00137972"/>
    <w:rsid w:val="00137B93"/>
    <w:rsid w:val="00140CD4"/>
    <w:rsid w:val="001436F5"/>
    <w:rsid w:val="00145A53"/>
    <w:rsid w:val="00145B3B"/>
    <w:rsid w:val="001463B4"/>
    <w:rsid w:val="001466D8"/>
    <w:rsid w:val="00146AAF"/>
    <w:rsid w:val="00147080"/>
    <w:rsid w:val="001472F0"/>
    <w:rsid w:val="00147554"/>
    <w:rsid w:val="00147809"/>
    <w:rsid w:val="00147947"/>
    <w:rsid w:val="00150D04"/>
    <w:rsid w:val="00150DEB"/>
    <w:rsid w:val="0015246F"/>
    <w:rsid w:val="001526D8"/>
    <w:rsid w:val="00152CA9"/>
    <w:rsid w:val="001537AA"/>
    <w:rsid w:val="00153EA1"/>
    <w:rsid w:val="00154DA8"/>
    <w:rsid w:val="0015551E"/>
    <w:rsid w:val="00155C60"/>
    <w:rsid w:val="00157827"/>
    <w:rsid w:val="001601C4"/>
    <w:rsid w:val="00160283"/>
    <w:rsid w:val="00160638"/>
    <w:rsid w:val="00160A37"/>
    <w:rsid w:val="00162812"/>
    <w:rsid w:val="00164591"/>
    <w:rsid w:val="00166C2D"/>
    <w:rsid w:val="00166C2E"/>
    <w:rsid w:val="00166E0F"/>
    <w:rsid w:val="00170C70"/>
    <w:rsid w:val="00170F3B"/>
    <w:rsid w:val="0017372B"/>
    <w:rsid w:val="001744CE"/>
    <w:rsid w:val="0017528F"/>
    <w:rsid w:val="0017544A"/>
    <w:rsid w:val="00175D5E"/>
    <w:rsid w:val="00177028"/>
    <w:rsid w:val="00177B3E"/>
    <w:rsid w:val="00180E82"/>
    <w:rsid w:val="0018104A"/>
    <w:rsid w:val="00182308"/>
    <w:rsid w:val="00182E8B"/>
    <w:rsid w:val="00183182"/>
    <w:rsid w:val="00183992"/>
    <w:rsid w:val="00184616"/>
    <w:rsid w:val="0018475E"/>
    <w:rsid w:val="001858A6"/>
    <w:rsid w:val="001860E0"/>
    <w:rsid w:val="00186401"/>
    <w:rsid w:val="001864EF"/>
    <w:rsid w:val="0018691F"/>
    <w:rsid w:val="00190148"/>
    <w:rsid w:val="001912BD"/>
    <w:rsid w:val="0019416E"/>
    <w:rsid w:val="00195DB3"/>
    <w:rsid w:val="001966E2"/>
    <w:rsid w:val="00197248"/>
    <w:rsid w:val="001A1907"/>
    <w:rsid w:val="001A228A"/>
    <w:rsid w:val="001A27B7"/>
    <w:rsid w:val="001A2C6C"/>
    <w:rsid w:val="001A48C1"/>
    <w:rsid w:val="001A4B0C"/>
    <w:rsid w:val="001A4D5F"/>
    <w:rsid w:val="001A5A7F"/>
    <w:rsid w:val="001A5F1E"/>
    <w:rsid w:val="001A6145"/>
    <w:rsid w:val="001A73D4"/>
    <w:rsid w:val="001B1AEC"/>
    <w:rsid w:val="001B1EB9"/>
    <w:rsid w:val="001B28EA"/>
    <w:rsid w:val="001B2922"/>
    <w:rsid w:val="001B2F84"/>
    <w:rsid w:val="001B3C96"/>
    <w:rsid w:val="001B3CA5"/>
    <w:rsid w:val="001B443F"/>
    <w:rsid w:val="001B561A"/>
    <w:rsid w:val="001B60C8"/>
    <w:rsid w:val="001B7E37"/>
    <w:rsid w:val="001C1583"/>
    <w:rsid w:val="001C3E12"/>
    <w:rsid w:val="001C7E52"/>
    <w:rsid w:val="001D1251"/>
    <w:rsid w:val="001D3A7D"/>
    <w:rsid w:val="001D44E2"/>
    <w:rsid w:val="001D49B9"/>
    <w:rsid w:val="001D54EF"/>
    <w:rsid w:val="001D5748"/>
    <w:rsid w:val="001D5D1B"/>
    <w:rsid w:val="001D767C"/>
    <w:rsid w:val="001E208B"/>
    <w:rsid w:val="001E238D"/>
    <w:rsid w:val="001E4561"/>
    <w:rsid w:val="001E4DD1"/>
    <w:rsid w:val="001E6879"/>
    <w:rsid w:val="001E78ED"/>
    <w:rsid w:val="001F1843"/>
    <w:rsid w:val="001F1D73"/>
    <w:rsid w:val="001F2C3F"/>
    <w:rsid w:val="001F2C72"/>
    <w:rsid w:val="001F3169"/>
    <w:rsid w:val="001F3786"/>
    <w:rsid w:val="001F6131"/>
    <w:rsid w:val="001F7013"/>
    <w:rsid w:val="001F720A"/>
    <w:rsid w:val="001F7764"/>
    <w:rsid w:val="002003A2"/>
    <w:rsid w:val="00200612"/>
    <w:rsid w:val="00202E3B"/>
    <w:rsid w:val="00204765"/>
    <w:rsid w:val="002047F8"/>
    <w:rsid w:val="002063AA"/>
    <w:rsid w:val="00206948"/>
    <w:rsid w:val="002070C1"/>
    <w:rsid w:val="00211B0E"/>
    <w:rsid w:val="00212294"/>
    <w:rsid w:val="00212CAF"/>
    <w:rsid w:val="0021406C"/>
    <w:rsid w:val="002144EC"/>
    <w:rsid w:val="00216572"/>
    <w:rsid w:val="0022023C"/>
    <w:rsid w:val="00222600"/>
    <w:rsid w:val="00223517"/>
    <w:rsid w:val="00226F60"/>
    <w:rsid w:val="002278FC"/>
    <w:rsid w:val="00227A1F"/>
    <w:rsid w:val="00227DA1"/>
    <w:rsid w:val="0023075F"/>
    <w:rsid w:val="00233354"/>
    <w:rsid w:val="00233553"/>
    <w:rsid w:val="00233CD1"/>
    <w:rsid w:val="00234374"/>
    <w:rsid w:val="00234A45"/>
    <w:rsid w:val="00235318"/>
    <w:rsid w:val="00235B58"/>
    <w:rsid w:val="00235F4B"/>
    <w:rsid w:val="00236420"/>
    <w:rsid w:val="00237188"/>
    <w:rsid w:val="00237461"/>
    <w:rsid w:val="00237974"/>
    <w:rsid w:val="00241D7E"/>
    <w:rsid w:val="00244441"/>
    <w:rsid w:val="002460B3"/>
    <w:rsid w:val="0024659C"/>
    <w:rsid w:val="00247A7B"/>
    <w:rsid w:val="00250D59"/>
    <w:rsid w:val="00252233"/>
    <w:rsid w:val="0025495E"/>
    <w:rsid w:val="00257937"/>
    <w:rsid w:val="00260ADB"/>
    <w:rsid w:val="00265237"/>
    <w:rsid w:val="00266111"/>
    <w:rsid w:val="00266D70"/>
    <w:rsid w:val="00267AD3"/>
    <w:rsid w:val="0027001D"/>
    <w:rsid w:val="00270628"/>
    <w:rsid w:val="002710CC"/>
    <w:rsid w:val="00272AEB"/>
    <w:rsid w:val="00272BD0"/>
    <w:rsid w:val="00273A9C"/>
    <w:rsid w:val="00277ABE"/>
    <w:rsid w:val="00280BC3"/>
    <w:rsid w:val="00282289"/>
    <w:rsid w:val="0028355F"/>
    <w:rsid w:val="00283D27"/>
    <w:rsid w:val="0028797B"/>
    <w:rsid w:val="00287C0C"/>
    <w:rsid w:val="00287E5B"/>
    <w:rsid w:val="002909CD"/>
    <w:rsid w:val="00290BBE"/>
    <w:rsid w:val="00290DF2"/>
    <w:rsid w:val="002911BF"/>
    <w:rsid w:val="002912EE"/>
    <w:rsid w:val="00292616"/>
    <w:rsid w:val="002926EB"/>
    <w:rsid w:val="00292D79"/>
    <w:rsid w:val="00294B42"/>
    <w:rsid w:val="002A0E53"/>
    <w:rsid w:val="002A11E6"/>
    <w:rsid w:val="002A13F2"/>
    <w:rsid w:val="002A788B"/>
    <w:rsid w:val="002B0707"/>
    <w:rsid w:val="002B2489"/>
    <w:rsid w:val="002B2ED7"/>
    <w:rsid w:val="002B31F2"/>
    <w:rsid w:val="002B3267"/>
    <w:rsid w:val="002B3685"/>
    <w:rsid w:val="002B368E"/>
    <w:rsid w:val="002C0070"/>
    <w:rsid w:val="002C05AB"/>
    <w:rsid w:val="002C0633"/>
    <w:rsid w:val="002C1799"/>
    <w:rsid w:val="002C3D96"/>
    <w:rsid w:val="002C5D7F"/>
    <w:rsid w:val="002C5E8B"/>
    <w:rsid w:val="002C6AE2"/>
    <w:rsid w:val="002D1F03"/>
    <w:rsid w:val="002D293E"/>
    <w:rsid w:val="002D4409"/>
    <w:rsid w:val="002D4A68"/>
    <w:rsid w:val="002D504A"/>
    <w:rsid w:val="002D6CBA"/>
    <w:rsid w:val="002D7068"/>
    <w:rsid w:val="002D7582"/>
    <w:rsid w:val="002D79E9"/>
    <w:rsid w:val="002E0F7E"/>
    <w:rsid w:val="002E1081"/>
    <w:rsid w:val="002E3728"/>
    <w:rsid w:val="002E477C"/>
    <w:rsid w:val="002E60A5"/>
    <w:rsid w:val="002E71CB"/>
    <w:rsid w:val="002E7D77"/>
    <w:rsid w:val="002F061B"/>
    <w:rsid w:val="002F0CAD"/>
    <w:rsid w:val="002F1DFC"/>
    <w:rsid w:val="002F249E"/>
    <w:rsid w:val="002F3CEB"/>
    <w:rsid w:val="002F70EC"/>
    <w:rsid w:val="0030180A"/>
    <w:rsid w:val="0030361B"/>
    <w:rsid w:val="00303CD7"/>
    <w:rsid w:val="00307506"/>
    <w:rsid w:val="003104D7"/>
    <w:rsid w:val="00310D85"/>
    <w:rsid w:val="003159ED"/>
    <w:rsid w:val="0031680C"/>
    <w:rsid w:val="00317245"/>
    <w:rsid w:val="003223E3"/>
    <w:rsid w:val="00322926"/>
    <w:rsid w:val="00322A03"/>
    <w:rsid w:val="0032340F"/>
    <w:rsid w:val="00324D18"/>
    <w:rsid w:val="00325F9E"/>
    <w:rsid w:val="003273B8"/>
    <w:rsid w:val="00334DD6"/>
    <w:rsid w:val="003352C6"/>
    <w:rsid w:val="00335644"/>
    <w:rsid w:val="0033577F"/>
    <w:rsid w:val="00336A33"/>
    <w:rsid w:val="00336C11"/>
    <w:rsid w:val="00337263"/>
    <w:rsid w:val="00337B4F"/>
    <w:rsid w:val="003406BC"/>
    <w:rsid w:val="00341E4F"/>
    <w:rsid w:val="003422D9"/>
    <w:rsid w:val="00345F10"/>
    <w:rsid w:val="00346454"/>
    <w:rsid w:val="003464E3"/>
    <w:rsid w:val="003470AD"/>
    <w:rsid w:val="003475B9"/>
    <w:rsid w:val="003502F7"/>
    <w:rsid w:val="00350BC0"/>
    <w:rsid w:val="00351AF2"/>
    <w:rsid w:val="003522DC"/>
    <w:rsid w:val="00352DD1"/>
    <w:rsid w:val="00353134"/>
    <w:rsid w:val="00356030"/>
    <w:rsid w:val="00356E62"/>
    <w:rsid w:val="00356F04"/>
    <w:rsid w:val="00357E64"/>
    <w:rsid w:val="00361C77"/>
    <w:rsid w:val="00362756"/>
    <w:rsid w:val="003628D8"/>
    <w:rsid w:val="00363D2A"/>
    <w:rsid w:val="00363EC1"/>
    <w:rsid w:val="00364469"/>
    <w:rsid w:val="00365077"/>
    <w:rsid w:val="00365CE8"/>
    <w:rsid w:val="0036609C"/>
    <w:rsid w:val="00366ED4"/>
    <w:rsid w:val="00367CBE"/>
    <w:rsid w:val="00370221"/>
    <w:rsid w:val="003713BF"/>
    <w:rsid w:val="0037292E"/>
    <w:rsid w:val="00373959"/>
    <w:rsid w:val="0037504C"/>
    <w:rsid w:val="003754DE"/>
    <w:rsid w:val="00375D2D"/>
    <w:rsid w:val="003807E7"/>
    <w:rsid w:val="00380E5F"/>
    <w:rsid w:val="003812E5"/>
    <w:rsid w:val="00382E72"/>
    <w:rsid w:val="003837D9"/>
    <w:rsid w:val="00383D3D"/>
    <w:rsid w:val="00383E1B"/>
    <w:rsid w:val="00384019"/>
    <w:rsid w:val="00384CB1"/>
    <w:rsid w:val="00385E98"/>
    <w:rsid w:val="00386A7F"/>
    <w:rsid w:val="00387D55"/>
    <w:rsid w:val="00387F29"/>
    <w:rsid w:val="0039138F"/>
    <w:rsid w:val="0039243C"/>
    <w:rsid w:val="00393424"/>
    <w:rsid w:val="00393838"/>
    <w:rsid w:val="003939CA"/>
    <w:rsid w:val="003945A2"/>
    <w:rsid w:val="003955AE"/>
    <w:rsid w:val="00395E93"/>
    <w:rsid w:val="003A0A7B"/>
    <w:rsid w:val="003A16F1"/>
    <w:rsid w:val="003A1908"/>
    <w:rsid w:val="003A299A"/>
    <w:rsid w:val="003A31BD"/>
    <w:rsid w:val="003A364F"/>
    <w:rsid w:val="003A501E"/>
    <w:rsid w:val="003A70F5"/>
    <w:rsid w:val="003A7CDF"/>
    <w:rsid w:val="003B0CD4"/>
    <w:rsid w:val="003B0D6E"/>
    <w:rsid w:val="003B443F"/>
    <w:rsid w:val="003B4A97"/>
    <w:rsid w:val="003B4D26"/>
    <w:rsid w:val="003B4D5D"/>
    <w:rsid w:val="003B697F"/>
    <w:rsid w:val="003C0D5A"/>
    <w:rsid w:val="003C0DDF"/>
    <w:rsid w:val="003C0F6B"/>
    <w:rsid w:val="003C148E"/>
    <w:rsid w:val="003C24D2"/>
    <w:rsid w:val="003C3C36"/>
    <w:rsid w:val="003C704D"/>
    <w:rsid w:val="003D07CB"/>
    <w:rsid w:val="003D0E86"/>
    <w:rsid w:val="003D357C"/>
    <w:rsid w:val="003D5F00"/>
    <w:rsid w:val="003D7CD2"/>
    <w:rsid w:val="003E4EDA"/>
    <w:rsid w:val="003E5472"/>
    <w:rsid w:val="003E6C90"/>
    <w:rsid w:val="003E774E"/>
    <w:rsid w:val="003E7B69"/>
    <w:rsid w:val="003E7B80"/>
    <w:rsid w:val="003F00B7"/>
    <w:rsid w:val="003F192C"/>
    <w:rsid w:val="003F4A82"/>
    <w:rsid w:val="003F6C76"/>
    <w:rsid w:val="003F6F06"/>
    <w:rsid w:val="003F6FF1"/>
    <w:rsid w:val="00400CB6"/>
    <w:rsid w:val="00402783"/>
    <w:rsid w:val="00404699"/>
    <w:rsid w:val="00404830"/>
    <w:rsid w:val="00404C41"/>
    <w:rsid w:val="004051D3"/>
    <w:rsid w:val="00412145"/>
    <w:rsid w:val="004143BC"/>
    <w:rsid w:val="00414812"/>
    <w:rsid w:val="00417CA1"/>
    <w:rsid w:val="004209D7"/>
    <w:rsid w:val="00420CA4"/>
    <w:rsid w:val="00420CBA"/>
    <w:rsid w:val="00421236"/>
    <w:rsid w:val="00421331"/>
    <w:rsid w:val="004214FF"/>
    <w:rsid w:val="00424045"/>
    <w:rsid w:val="00424A3A"/>
    <w:rsid w:val="0043051B"/>
    <w:rsid w:val="0043062D"/>
    <w:rsid w:val="004307DB"/>
    <w:rsid w:val="00431236"/>
    <w:rsid w:val="00431586"/>
    <w:rsid w:val="00432C51"/>
    <w:rsid w:val="00436087"/>
    <w:rsid w:val="0044094E"/>
    <w:rsid w:val="00442FE5"/>
    <w:rsid w:val="0044397D"/>
    <w:rsid w:val="00445255"/>
    <w:rsid w:val="00445300"/>
    <w:rsid w:val="00445BB2"/>
    <w:rsid w:val="00450AE8"/>
    <w:rsid w:val="004517EE"/>
    <w:rsid w:val="004544CB"/>
    <w:rsid w:val="004548C2"/>
    <w:rsid w:val="00455138"/>
    <w:rsid w:val="00455771"/>
    <w:rsid w:val="0045716E"/>
    <w:rsid w:val="00460BCF"/>
    <w:rsid w:val="00462D6A"/>
    <w:rsid w:val="00464571"/>
    <w:rsid w:val="00466AEC"/>
    <w:rsid w:val="00471416"/>
    <w:rsid w:val="00471926"/>
    <w:rsid w:val="00473549"/>
    <w:rsid w:val="00473AB4"/>
    <w:rsid w:val="004747D9"/>
    <w:rsid w:val="00484015"/>
    <w:rsid w:val="004845DA"/>
    <w:rsid w:val="00485E81"/>
    <w:rsid w:val="00487437"/>
    <w:rsid w:val="00487A3D"/>
    <w:rsid w:val="00491FF9"/>
    <w:rsid w:val="00492C21"/>
    <w:rsid w:val="004936C3"/>
    <w:rsid w:val="0049394F"/>
    <w:rsid w:val="0049491F"/>
    <w:rsid w:val="00495E3B"/>
    <w:rsid w:val="004961D1"/>
    <w:rsid w:val="00496DB8"/>
    <w:rsid w:val="00497350"/>
    <w:rsid w:val="004977A3"/>
    <w:rsid w:val="004A048F"/>
    <w:rsid w:val="004A16B1"/>
    <w:rsid w:val="004A1A25"/>
    <w:rsid w:val="004A3325"/>
    <w:rsid w:val="004A4CEA"/>
    <w:rsid w:val="004A57DD"/>
    <w:rsid w:val="004A5FC1"/>
    <w:rsid w:val="004A6C22"/>
    <w:rsid w:val="004A706E"/>
    <w:rsid w:val="004A75AE"/>
    <w:rsid w:val="004B2E77"/>
    <w:rsid w:val="004B356E"/>
    <w:rsid w:val="004B54D7"/>
    <w:rsid w:val="004B6068"/>
    <w:rsid w:val="004B6904"/>
    <w:rsid w:val="004C1947"/>
    <w:rsid w:val="004C1E7B"/>
    <w:rsid w:val="004C26E9"/>
    <w:rsid w:val="004C27F7"/>
    <w:rsid w:val="004C3D5B"/>
    <w:rsid w:val="004C49CD"/>
    <w:rsid w:val="004C6BD1"/>
    <w:rsid w:val="004C7141"/>
    <w:rsid w:val="004D08DB"/>
    <w:rsid w:val="004D0B6A"/>
    <w:rsid w:val="004D0D55"/>
    <w:rsid w:val="004D2775"/>
    <w:rsid w:val="004D4046"/>
    <w:rsid w:val="004D420D"/>
    <w:rsid w:val="004D481A"/>
    <w:rsid w:val="004D760B"/>
    <w:rsid w:val="004E3435"/>
    <w:rsid w:val="004E786F"/>
    <w:rsid w:val="004F0D57"/>
    <w:rsid w:val="004F1416"/>
    <w:rsid w:val="004F192B"/>
    <w:rsid w:val="004F24E2"/>
    <w:rsid w:val="004F3675"/>
    <w:rsid w:val="004F3948"/>
    <w:rsid w:val="004F4349"/>
    <w:rsid w:val="004F4EA6"/>
    <w:rsid w:val="004F5242"/>
    <w:rsid w:val="004F533C"/>
    <w:rsid w:val="004F60A6"/>
    <w:rsid w:val="004F67C4"/>
    <w:rsid w:val="004F6FF9"/>
    <w:rsid w:val="004F74B4"/>
    <w:rsid w:val="004F7627"/>
    <w:rsid w:val="00500001"/>
    <w:rsid w:val="00500A2F"/>
    <w:rsid w:val="00500E59"/>
    <w:rsid w:val="0050153C"/>
    <w:rsid w:val="00503F10"/>
    <w:rsid w:val="00504CBE"/>
    <w:rsid w:val="00504F72"/>
    <w:rsid w:val="00505AC6"/>
    <w:rsid w:val="00505CDF"/>
    <w:rsid w:val="00506F96"/>
    <w:rsid w:val="005074C5"/>
    <w:rsid w:val="00507A4B"/>
    <w:rsid w:val="005105EF"/>
    <w:rsid w:val="005108F1"/>
    <w:rsid w:val="00512476"/>
    <w:rsid w:val="0051410E"/>
    <w:rsid w:val="00517972"/>
    <w:rsid w:val="00520A2C"/>
    <w:rsid w:val="0052254C"/>
    <w:rsid w:val="005237A5"/>
    <w:rsid w:val="0052495E"/>
    <w:rsid w:val="00524C41"/>
    <w:rsid w:val="00524F7F"/>
    <w:rsid w:val="005255D9"/>
    <w:rsid w:val="00525CA0"/>
    <w:rsid w:val="005272C3"/>
    <w:rsid w:val="005275E9"/>
    <w:rsid w:val="005278B0"/>
    <w:rsid w:val="00527D35"/>
    <w:rsid w:val="00530D3E"/>
    <w:rsid w:val="005315BE"/>
    <w:rsid w:val="00531D81"/>
    <w:rsid w:val="00533524"/>
    <w:rsid w:val="005335C8"/>
    <w:rsid w:val="00535101"/>
    <w:rsid w:val="00535458"/>
    <w:rsid w:val="00536095"/>
    <w:rsid w:val="00536157"/>
    <w:rsid w:val="00537502"/>
    <w:rsid w:val="00540997"/>
    <w:rsid w:val="00540C1C"/>
    <w:rsid w:val="00540FA6"/>
    <w:rsid w:val="0054118B"/>
    <w:rsid w:val="00543A92"/>
    <w:rsid w:val="005441A5"/>
    <w:rsid w:val="005456D3"/>
    <w:rsid w:val="0054625A"/>
    <w:rsid w:val="00546F8E"/>
    <w:rsid w:val="0054723E"/>
    <w:rsid w:val="005503D1"/>
    <w:rsid w:val="00551806"/>
    <w:rsid w:val="00552788"/>
    <w:rsid w:val="005546D2"/>
    <w:rsid w:val="00555D80"/>
    <w:rsid w:val="00560156"/>
    <w:rsid w:val="005609E1"/>
    <w:rsid w:val="00562612"/>
    <w:rsid w:val="00563636"/>
    <w:rsid w:val="00564060"/>
    <w:rsid w:val="005647DB"/>
    <w:rsid w:val="005655CB"/>
    <w:rsid w:val="005675A2"/>
    <w:rsid w:val="0056777B"/>
    <w:rsid w:val="00571D10"/>
    <w:rsid w:val="005726FE"/>
    <w:rsid w:val="00574522"/>
    <w:rsid w:val="00574730"/>
    <w:rsid w:val="00576700"/>
    <w:rsid w:val="00576F7D"/>
    <w:rsid w:val="0058256D"/>
    <w:rsid w:val="00583259"/>
    <w:rsid w:val="005832BC"/>
    <w:rsid w:val="00583ADE"/>
    <w:rsid w:val="00584149"/>
    <w:rsid w:val="00584B9C"/>
    <w:rsid w:val="00586381"/>
    <w:rsid w:val="0058725A"/>
    <w:rsid w:val="00590FF9"/>
    <w:rsid w:val="00592358"/>
    <w:rsid w:val="0059479B"/>
    <w:rsid w:val="005949DA"/>
    <w:rsid w:val="00597C9B"/>
    <w:rsid w:val="005A0458"/>
    <w:rsid w:val="005A2BDD"/>
    <w:rsid w:val="005A35FA"/>
    <w:rsid w:val="005A4BFC"/>
    <w:rsid w:val="005A7CDC"/>
    <w:rsid w:val="005B08F5"/>
    <w:rsid w:val="005B0DA7"/>
    <w:rsid w:val="005B31A1"/>
    <w:rsid w:val="005B4764"/>
    <w:rsid w:val="005B4971"/>
    <w:rsid w:val="005B65F7"/>
    <w:rsid w:val="005B7E8F"/>
    <w:rsid w:val="005C103F"/>
    <w:rsid w:val="005C3DCF"/>
    <w:rsid w:val="005C4D12"/>
    <w:rsid w:val="005C4DC1"/>
    <w:rsid w:val="005C4EAD"/>
    <w:rsid w:val="005C6AB4"/>
    <w:rsid w:val="005C7AD5"/>
    <w:rsid w:val="005C7BEB"/>
    <w:rsid w:val="005C7E47"/>
    <w:rsid w:val="005D00F1"/>
    <w:rsid w:val="005D0FA1"/>
    <w:rsid w:val="005D40A5"/>
    <w:rsid w:val="005D52E8"/>
    <w:rsid w:val="005D607A"/>
    <w:rsid w:val="005D61F5"/>
    <w:rsid w:val="005D76B5"/>
    <w:rsid w:val="005E0B19"/>
    <w:rsid w:val="005E54B1"/>
    <w:rsid w:val="005E7478"/>
    <w:rsid w:val="005F0299"/>
    <w:rsid w:val="005F047D"/>
    <w:rsid w:val="005F1177"/>
    <w:rsid w:val="005F1AAC"/>
    <w:rsid w:val="005F2AE9"/>
    <w:rsid w:val="005F2FF1"/>
    <w:rsid w:val="005F32F9"/>
    <w:rsid w:val="005F419B"/>
    <w:rsid w:val="005F7391"/>
    <w:rsid w:val="00603B36"/>
    <w:rsid w:val="006048DC"/>
    <w:rsid w:val="006050B2"/>
    <w:rsid w:val="00605662"/>
    <w:rsid w:val="0060693B"/>
    <w:rsid w:val="00607966"/>
    <w:rsid w:val="00610D1E"/>
    <w:rsid w:val="00612C0B"/>
    <w:rsid w:val="006173CB"/>
    <w:rsid w:val="00617688"/>
    <w:rsid w:val="0061787D"/>
    <w:rsid w:val="006201D8"/>
    <w:rsid w:val="006223D9"/>
    <w:rsid w:val="006235F1"/>
    <w:rsid w:val="00623F62"/>
    <w:rsid w:val="006257C5"/>
    <w:rsid w:val="0062611B"/>
    <w:rsid w:val="006262DC"/>
    <w:rsid w:val="006269AE"/>
    <w:rsid w:val="00634D4B"/>
    <w:rsid w:val="0063571D"/>
    <w:rsid w:val="00635798"/>
    <w:rsid w:val="00635EBC"/>
    <w:rsid w:val="006371CF"/>
    <w:rsid w:val="0063758F"/>
    <w:rsid w:val="006413A7"/>
    <w:rsid w:val="00641C80"/>
    <w:rsid w:val="00642466"/>
    <w:rsid w:val="006453DD"/>
    <w:rsid w:val="006458DE"/>
    <w:rsid w:val="00645C14"/>
    <w:rsid w:val="00646835"/>
    <w:rsid w:val="006512B2"/>
    <w:rsid w:val="006521C8"/>
    <w:rsid w:val="0065265F"/>
    <w:rsid w:val="00652DC8"/>
    <w:rsid w:val="00652DED"/>
    <w:rsid w:val="0065399A"/>
    <w:rsid w:val="00653D4E"/>
    <w:rsid w:val="00656696"/>
    <w:rsid w:val="006566C6"/>
    <w:rsid w:val="00656DEF"/>
    <w:rsid w:val="006570A7"/>
    <w:rsid w:val="00657825"/>
    <w:rsid w:val="00660A12"/>
    <w:rsid w:val="00660BED"/>
    <w:rsid w:val="00662AC8"/>
    <w:rsid w:val="006631B3"/>
    <w:rsid w:val="00664C90"/>
    <w:rsid w:val="00665C86"/>
    <w:rsid w:val="00667E41"/>
    <w:rsid w:val="00671829"/>
    <w:rsid w:val="006752CF"/>
    <w:rsid w:val="00676421"/>
    <w:rsid w:val="00676A49"/>
    <w:rsid w:val="00681A8E"/>
    <w:rsid w:val="00682036"/>
    <w:rsid w:val="006836AC"/>
    <w:rsid w:val="006839E7"/>
    <w:rsid w:val="00686B2D"/>
    <w:rsid w:val="00687672"/>
    <w:rsid w:val="00687832"/>
    <w:rsid w:val="00687DEC"/>
    <w:rsid w:val="00690C6E"/>
    <w:rsid w:val="006940F6"/>
    <w:rsid w:val="006970B2"/>
    <w:rsid w:val="006A104F"/>
    <w:rsid w:val="006A14A9"/>
    <w:rsid w:val="006A178B"/>
    <w:rsid w:val="006A423E"/>
    <w:rsid w:val="006A44DE"/>
    <w:rsid w:val="006A4AC4"/>
    <w:rsid w:val="006A5311"/>
    <w:rsid w:val="006A7201"/>
    <w:rsid w:val="006A76EF"/>
    <w:rsid w:val="006A7FD1"/>
    <w:rsid w:val="006B03F5"/>
    <w:rsid w:val="006B0588"/>
    <w:rsid w:val="006B1F6D"/>
    <w:rsid w:val="006B2406"/>
    <w:rsid w:val="006B3BD3"/>
    <w:rsid w:val="006B3C74"/>
    <w:rsid w:val="006B74FD"/>
    <w:rsid w:val="006B7513"/>
    <w:rsid w:val="006C037B"/>
    <w:rsid w:val="006C101E"/>
    <w:rsid w:val="006C2D21"/>
    <w:rsid w:val="006C3F34"/>
    <w:rsid w:val="006C7087"/>
    <w:rsid w:val="006C740D"/>
    <w:rsid w:val="006C79CB"/>
    <w:rsid w:val="006D2084"/>
    <w:rsid w:val="006D24EA"/>
    <w:rsid w:val="006D2E64"/>
    <w:rsid w:val="006D3CFB"/>
    <w:rsid w:val="006D42E0"/>
    <w:rsid w:val="006D4A42"/>
    <w:rsid w:val="006D7D4F"/>
    <w:rsid w:val="006E0383"/>
    <w:rsid w:val="006E0B97"/>
    <w:rsid w:val="006E0E07"/>
    <w:rsid w:val="006E1D15"/>
    <w:rsid w:val="006E2358"/>
    <w:rsid w:val="006E29B9"/>
    <w:rsid w:val="006E2E73"/>
    <w:rsid w:val="006E457D"/>
    <w:rsid w:val="006F43FA"/>
    <w:rsid w:val="006F4974"/>
    <w:rsid w:val="006F4AD4"/>
    <w:rsid w:val="006F5640"/>
    <w:rsid w:val="006F5CD8"/>
    <w:rsid w:val="006F5E7A"/>
    <w:rsid w:val="006F6F25"/>
    <w:rsid w:val="006F7FA2"/>
    <w:rsid w:val="00701D41"/>
    <w:rsid w:val="00702DA0"/>
    <w:rsid w:val="007118FD"/>
    <w:rsid w:val="007133D1"/>
    <w:rsid w:val="00713E55"/>
    <w:rsid w:val="00715410"/>
    <w:rsid w:val="007155EF"/>
    <w:rsid w:val="00716086"/>
    <w:rsid w:val="007163CB"/>
    <w:rsid w:val="0071682F"/>
    <w:rsid w:val="00717887"/>
    <w:rsid w:val="007179B6"/>
    <w:rsid w:val="007213E9"/>
    <w:rsid w:val="00721BAF"/>
    <w:rsid w:val="00725D84"/>
    <w:rsid w:val="00726E99"/>
    <w:rsid w:val="007307BB"/>
    <w:rsid w:val="00731885"/>
    <w:rsid w:val="00731E8B"/>
    <w:rsid w:val="00733358"/>
    <w:rsid w:val="00733E8B"/>
    <w:rsid w:val="007342B0"/>
    <w:rsid w:val="007355E4"/>
    <w:rsid w:val="00736A65"/>
    <w:rsid w:val="00741388"/>
    <w:rsid w:val="00741F4B"/>
    <w:rsid w:val="00742F7B"/>
    <w:rsid w:val="007433B2"/>
    <w:rsid w:val="00743621"/>
    <w:rsid w:val="007439FC"/>
    <w:rsid w:val="007461F4"/>
    <w:rsid w:val="007463E1"/>
    <w:rsid w:val="00750A00"/>
    <w:rsid w:val="007527D9"/>
    <w:rsid w:val="00752A03"/>
    <w:rsid w:val="007532CF"/>
    <w:rsid w:val="007540F6"/>
    <w:rsid w:val="00754516"/>
    <w:rsid w:val="007555FE"/>
    <w:rsid w:val="00757605"/>
    <w:rsid w:val="00757AAD"/>
    <w:rsid w:val="0076148E"/>
    <w:rsid w:val="007620B5"/>
    <w:rsid w:val="00762384"/>
    <w:rsid w:val="007626CE"/>
    <w:rsid w:val="007702C5"/>
    <w:rsid w:val="00770A97"/>
    <w:rsid w:val="0077168D"/>
    <w:rsid w:val="00771771"/>
    <w:rsid w:val="00772EF1"/>
    <w:rsid w:val="007735A8"/>
    <w:rsid w:val="00774649"/>
    <w:rsid w:val="00775912"/>
    <w:rsid w:val="007772B5"/>
    <w:rsid w:val="00782B19"/>
    <w:rsid w:val="0078385A"/>
    <w:rsid w:val="00783868"/>
    <w:rsid w:val="00783EBE"/>
    <w:rsid w:val="00784138"/>
    <w:rsid w:val="007857BF"/>
    <w:rsid w:val="0078784B"/>
    <w:rsid w:val="00787E7E"/>
    <w:rsid w:val="00790614"/>
    <w:rsid w:val="007916DC"/>
    <w:rsid w:val="007936AE"/>
    <w:rsid w:val="007948EF"/>
    <w:rsid w:val="00795076"/>
    <w:rsid w:val="007956CF"/>
    <w:rsid w:val="0079610C"/>
    <w:rsid w:val="0079642B"/>
    <w:rsid w:val="00796AE9"/>
    <w:rsid w:val="00796C8C"/>
    <w:rsid w:val="00796FFC"/>
    <w:rsid w:val="007A0BE7"/>
    <w:rsid w:val="007A16B9"/>
    <w:rsid w:val="007A282B"/>
    <w:rsid w:val="007A2A36"/>
    <w:rsid w:val="007A370A"/>
    <w:rsid w:val="007A42C7"/>
    <w:rsid w:val="007A50DA"/>
    <w:rsid w:val="007A5FFF"/>
    <w:rsid w:val="007B0913"/>
    <w:rsid w:val="007B1A1F"/>
    <w:rsid w:val="007B3799"/>
    <w:rsid w:val="007B46BB"/>
    <w:rsid w:val="007B52A7"/>
    <w:rsid w:val="007B5C8D"/>
    <w:rsid w:val="007B69A3"/>
    <w:rsid w:val="007C045C"/>
    <w:rsid w:val="007C0BD8"/>
    <w:rsid w:val="007C12AE"/>
    <w:rsid w:val="007C174C"/>
    <w:rsid w:val="007C25D4"/>
    <w:rsid w:val="007C5C1B"/>
    <w:rsid w:val="007C660E"/>
    <w:rsid w:val="007C684C"/>
    <w:rsid w:val="007C6E33"/>
    <w:rsid w:val="007C7922"/>
    <w:rsid w:val="007C7CE3"/>
    <w:rsid w:val="007D20EA"/>
    <w:rsid w:val="007D21D1"/>
    <w:rsid w:val="007D299B"/>
    <w:rsid w:val="007D7F4A"/>
    <w:rsid w:val="007E04AD"/>
    <w:rsid w:val="007E0FDD"/>
    <w:rsid w:val="007E1F14"/>
    <w:rsid w:val="007E444A"/>
    <w:rsid w:val="007E4660"/>
    <w:rsid w:val="007E4A23"/>
    <w:rsid w:val="007E511F"/>
    <w:rsid w:val="007E55B5"/>
    <w:rsid w:val="007E59A9"/>
    <w:rsid w:val="007E5C6D"/>
    <w:rsid w:val="007E5D57"/>
    <w:rsid w:val="007E65CC"/>
    <w:rsid w:val="007E7F95"/>
    <w:rsid w:val="007F0858"/>
    <w:rsid w:val="007F13F5"/>
    <w:rsid w:val="007F1674"/>
    <w:rsid w:val="007F2439"/>
    <w:rsid w:val="007F2699"/>
    <w:rsid w:val="007F28B9"/>
    <w:rsid w:val="007F35CB"/>
    <w:rsid w:val="007F3CF1"/>
    <w:rsid w:val="007F525E"/>
    <w:rsid w:val="007F5773"/>
    <w:rsid w:val="007F72A5"/>
    <w:rsid w:val="007F7B92"/>
    <w:rsid w:val="008007D4"/>
    <w:rsid w:val="00800969"/>
    <w:rsid w:val="0080239F"/>
    <w:rsid w:val="0080486F"/>
    <w:rsid w:val="00804981"/>
    <w:rsid w:val="00805112"/>
    <w:rsid w:val="00806809"/>
    <w:rsid w:val="008104FC"/>
    <w:rsid w:val="008111C7"/>
    <w:rsid w:val="008111F3"/>
    <w:rsid w:val="00811B30"/>
    <w:rsid w:val="0081300D"/>
    <w:rsid w:val="00813799"/>
    <w:rsid w:val="00813941"/>
    <w:rsid w:val="008142E5"/>
    <w:rsid w:val="0081441F"/>
    <w:rsid w:val="008144D5"/>
    <w:rsid w:val="00815BFE"/>
    <w:rsid w:val="00817BBA"/>
    <w:rsid w:val="008205A1"/>
    <w:rsid w:val="00821FDC"/>
    <w:rsid w:val="0082247B"/>
    <w:rsid w:val="008243F3"/>
    <w:rsid w:val="00826B1B"/>
    <w:rsid w:val="008309A1"/>
    <w:rsid w:val="00830B8A"/>
    <w:rsid w:val="00834FE9"/>
    <w:rsid w:val="00836390"/>
    <w:rsid w:val="00837894"/>
    <w:rsid w:val="00840EE0"/>
    <w:rsid w:val="00842C14"/>
    <w:rsid w:val="00843412"/>
    <w:rsid w:val="00843BDD"/>
    <w:rsid w:val="0084633B"/>
    <w:rsid w:val="00846B3C"/>
    <w:rsid w:val="0085119A"/>
    <w:rsid w:val="00852053"/>
    <w:rsid w:val="00853312"/>
    <w:rsid w:val="00853714"/>
    <w:rsid w:val="00855204"/>
    <w:rsid w:val="00855BFB"/>
    <w:rsid w:val="00856126"/>
    <w:rsid w:val="00857650"/>
    <w:rsid w:val="0086041A"/>
    <w:rsid w:val="008623A1"/>
    <w:rsid w:val="0086265D"/>
    <w:rsid w:val="00862945"/>
    <w:rsid w:val="00862BF1"/>
    <w:rsid w:val="0086358B"/>
    <w:rsid w:val="00863AA1"/>
    <w:rsid w:val="0086557B"/>
    <w:rsid w:val="00866364"/>
    <w:rsid w:val="008663FA"/>
    <w:rsid w:val="00867841"/>
    <w:rsid w:val="00870BF8"/>
    <w:rsid w:val="00871D6C"/>
    <w:rsid w:val="00872AB8"/>
    <w:rsid w:val="00872E20"/>
    <w:rsid w:val="008755BF"/>
    <w:rsid w:val="008771BF"/>
    <w:rsid w:val="008809D6"/>
    <w:rsid w:val="00881D69"/>
    <w:rsid w:val="008823C0"/>
    <w:rsid w:val="008823F6"/>
    <w:rsid w:val="00883268"/>
    <w:rsid w:val="0088427C"/>
    <w:rsid w:val="00885007"/>
    <w:rsid w:val="0088566E"/>
    <w:rsid w:val="0088589C"/>
    <w:rsid w:val="00885B04"/>
    <w:rsid w:val="00886D03"/>
    <w:rsid w:val="0089380B"/>
    <w:rsid w:val="00895CD8"/>
    <w:rsid w:val="00897754"/>
    <w:rsid w:val="00897A30"/>
    <w:rsid w:val="00897B87"/>
    <w:rsid w:val="00897E74"/>
    <w:rsid w:val="008A0869"/>
    <w:rsid w:val="008A1128"/>
    <w:rsid w:val="008A25EB"/>
    <w:rsid w:val="008A2B5B"/>
    <w:rsid w:val="008A34C7"/>
    <w:rsid w:val="008A3C5A"/>
    <w:rsid w:val="008A5BC5"/>
    <w:rsid w:val="008A623C"/>
    <w:rsid w:val="008A72CC"/>
    <w:rsid w:val="008B4405"/>
    <w:rsid w:val="008B485E"/>
    <w:rsid w:val="008B711D"/>
    <w:rsid w:val="008C0B02"/>
    <w:rsid w:val="008C3B5D"/>
    <w:rsid w:val="008C5B1A"/>
    <w:rsid w:val="008C617B"/>
    <w:rsid w:val="008C743F"/>
    <w:rsid w:val="008C7720"/>
    <w:rsid w:val="008C7955"/>
    <w:rsid w:val="008C7AFD"/>
    <w:rsid w:val="008C7C6E"/>
    <w:rsid w:val="008D0C35"/>
    <w:rsid w:val="008D0D47"/>
    <w:rsid w:val="008D1DDD"/>
    <w:rsid w:val="008D2D2D"/>
    <w:rsid w:val="008D3310"/>
    <w:rsid w:val="008D3A67"/>
    <w:rsid w:val="008D5573"/>
    <w:rsid w:val="008D5A02"/>
    <w:rsid w:val="008D74E8"/>
    <w:rsid w:val="008D7BE6"/>
    <w:rsid w:val="008E0DAA"/>
    <w:rsid w:val="008E1BEC"/>
    <w:rsid w:val="008E3F51"/>
    <w:rsid w:val="008E408B"/>
    <w:rsid w:val="008E416E"/>
    <w:rsid w:val="008E48D2"/>
    <w:rsid w:val="008E48FD"/>
    <w:rsid w:val="008E55C0"/>
    <w:rsid w:val="008F0B66"/>
    <w:rsid w:val="008F25A6"/>
    <w:rsid w:val="008F2B1A"/>
    <w:rsid w:val="008F79CB"/>
    <w:rsid w:val="00901C00"/>
    <w:rsid w:val="00901DBF"/>
    <w:rsid w:val="009020CB"/>
    <w:rsid w:val="00902349"/>
    <w:rsid w:val="009029E6"/>
    <w:rsid w:val="00904115"/>
    <w:rsid w:val="00904182"/>
    <w:rsid w:val="0090427C"/>
    <w:rsid w:val="00904682"/>
    <w:rsid w:val="00904961"/>
    <w:rsid w:val="00904D3D"/>
    <w:rsid w:val="009057E1"/>
    <w:rsid w:val="00906548"/>
    <w:rsid w:val="00911DF2"/>
    <w:rsid w:val="00914223"/>
    <w:rsid w:val="009146AD"/>
    <w:rsid w:val="00917064"/>
    <w:rsid w:val="009179B1"/>
    <w:rsid w:val="00917F5C"/>
    <w:rsid w:val="00921144"/>
    <w:rsid w:val="00921235"/>
    <w:rsid w:val="009214E0"/>
    <w:rsid w:val="00922EBE"/>
    <w:rsid w:val="00923E97"/>
    <w:rsid w:val="00925297"/>
    <w:rsid w:val="00926FE7"/>
    <w:rsid w:val="00927370"/>
    <w:rsid w:val="00927781"/>
    <w:rsid w:val="00930D27"/>
    <w:rsid w:val="00933367"/>
    <w:rsid w:val="0093435D"/>
    <w:rsid w:val="00934F35"/>
    <w:rsid w:val="009354B0"/>
    <w:rsid w:val="00935C42"/>
    <w:rsid w:val="00936220"/>
    <w:rsid w:val="0094025C"/>
    <w:rsid w:val="0094113B"/>
    <w:rsid w:val="0094222D"/>
    <w:rsid w:val="009429BC"/>
    <w:rsid w:val="00943578"/>
    <w:rsid w:val="00943703"/>
    <w:rsid w:val="00944B16"/>
    <w:rsid w:val="009450AC"/>
    <w:rsid w:val="0094638B"/>
    <w:rsid w:val="0094799F"/>
    <w:rsid w:val="00950E93"/>
    <w:rsid w:val="00950FF0"/>
    <w:rsid w:val="00951F47"/>
    <w:rsid w:val="0095287A"/>
    <w:rsid w:val="0095333D"/>
    <w:rsid w:val="00953A0C"/>
    <w:rsid w:val="00953C08"/>
    <w:rsid w:val="009543BA"/>
    <w:rsid w:val="00954680"/>
    <w:rsid w:val="00954F07"/>
    <w:rsid w:val="009557EA"/>
    <w:rsid w:val="009558A0"/>
    <w:rsid w:val="00960F04"/>
    <w:rsid w:val="0096129B"/>
    <w:rsid w:val="009635D5"/>
    <w:rsid w:val="00964C21"/>
    <w:rsid w:val="00965385"/>
    <w:rsid w:val="009659AE"/>
    <w:rsid w:val="00966831"/>
    <w:rsid w:val="00967C44"/>
    <w:rsid w:val="00970054"/>
    <w:rsid w:val="00970B88"/>
    <w:rsid w:val="009744D1"/>
    <w:rsid w:val="009748ED"/>
    <w:rsid w:val="009776A1"/>
    <w:rsid w:val="009801A0"/>
    <w:rsid w:val="0098349F"/>
    <w:rsid w:val="009835D6"/>
    <w:rsid w:val="00983683"/>
    <w:rsid w:val="00983A68"/>
    <w:rsid w:val="00984501"/>
    <w:rsid w:val="0098454D"/>
    <w:rsid w:val="00986B64"/>
    <w:rsid w:val="0099233B"/>
    <w:rsid w:val="00992CF2"/>
    <w:rsid w:val="00995693"/>
    <w:rsid w:val="0099601C"/>
    <w:rsid w:val="0099715D"/>
    <w:rsid w:val="00997D7A"/>
    <w:rsid w:val="009A1370"/>
    <w:rsid w:val="009A18FC"/>
    <w:rsid w:val="009A2D7B"/>
    <w:rsid w:val="009A31E4"/>
    <w:rsid w:val="009A3241"/>
    <w:rsid w:val="009A3E79"/>
    <w:rsid w:val="009A4B4E"/>
    <w:rsid w:val="009A6441"/>
    <w:rsid w:val="009A6FF3"/>
    <w:rsid w:val="009B0205"/>
    <w:rsid w:val="009B0378"/>
    <w:rsid w:val="009B2520"/>
    <w:rsid w:val="009B530A"/>
    <w:rsid w:val="009C2D96"/>
    <w:rsid w:val="009C30AD"/>
    <w:rsid w:val="009C3D09"/>
    <w:rsid w:val="009C5DFB"/>
    <w:rsid w:val="009C708C"/>
    <w:rsid w:val="009C7A03"/>
    <w:rsid w:val="009D03CB"/>
    <w:rsid w:val="009D0AA0"/>
    <w:rsid w:val="009D20AF"/>
    <w:rsid w:val="009D23CA"/>
    <w:rsid w:val="009D355E"/>
    <w:rsid w:val="009D5F84"/>
    <w:rsid w:val="009D5FA9"/>
    <w:rsid w:val="009D6C73"/>
    <w:rsid w:val="009D7073"/>
    <w:rsid w:val="009E0D3B"/>
    <w:rsid w:val="009E1299"/>
    <w:rsid w:val="009E1E20"/>
    <w:rsid w:val="009E21C4"/>
    <w:rsid w:val="009E30B6"/>
    <w:rsid w:val="009E3227"/>
    <w:rsid w:val="009E3C10"/>
    <w:rsid w:val="009E3C11"/>
    <w:rsid w:val="009E51A6"/>
    <w:rsid w:val="009E51C7"/>
    <w:rsid w:val="009E6865"/>
    <w:rsid w:val="009E7CB8"/>
    <w:rsid w:val="009F17CB"/>
    <w:rsid w:val="009F209F"/>
    <w:rsid w:val="009F2908"/>
    <w:rsid w:val="009F2E91"/>
    <w:rsid w:val="009F33C7"/>
    <w:rsid w:val="009F5F90"/>
    <w:rsid w:val="009F78BD"/>
    <w:rsid w:val="00A01165"/>
    <w:rsid w:val="00A02C44"/>
    <w:rsid w:val="00A02D68"/>
    <w:rsid w:val="00A05044"/>
    <w:rsid w:val="00A069B8"/>
    <w:rsid w:val="00A10609"/>
    <w:rsid w:val="00A11FF1"/>
    <w:rsid w:val="00A123BA"/>
    <w:rsid w:val="00A12C28"/>
    <w:rsid w:val="00A1617A"/>
    <w:rsid w:val="00A16E46"/>
    <w:rsid w:val="00A17C17"/>
    <w:rsid w:val="00A201F3"/>
    <w:rsid w:val="00A22900"/>
    <w:rsid w:val="00A22C56"/>
    <w:rsid w:val="00A22E2A"/>
    <w:rsid w:val="00A23324"/>
    <w:rsid w:val="00A245B1"/>
    <w:rsid w:val="00A24E50"/>
    <w:rsid w:val="00A25474"/>
    <w:rsid w:val="00A26C41"/>
    <w:rsid w:val="00A27F46"/>
    <w:rsid w:val="00A3004B"/>
    <w:rsid w:val="00A300B2"/>
    <w:rsid w:val="00A3019F"/>
    <w:rsid w:val="00A30EF8"/>
    <w:rsid w:val="00A32652"/>
    <w:rsid w:val="00A33DF2"/>
    <w:rsid w:val="00A34631"/>
    <w:rsid w:val="00A34A12"/>
    <w:rsid w:val="00A35FCF"/>
    <w:rsid w:val="00A36294"/>
    <w:rsid w:val="00A3685A"/>
    <w:rsid w:val="00A37AC8"/>
    <w:rsid w:val="00A40449"/>
    <w:rsid w:val="00A41ADD"/>
    <w:rsid w:val="00A41BCD"/>
    <w:rsid w:val="00A41CDE"/>
    <w:rsid w:val="00A428D6"/>
    <w:rsid w:val="00A4346F"/>
    <w:rsid w:val="00A441B9"/>
    <w:rsid w:val="00A45496"/>
    <w:rsid w:val="00A4577F"/>
    <w:rsid w:val="00A46711"/>
    <w:rsid w:val="00A46F88"/>
    <w:rsid w:val="00A47065"/>
    <w:rsid w:val="00A4709F"/>
    <w:rsid w:val="00A50656"/>
    <w:rsid w:val="00A50CC9"/>
    <w:rsid w:val="00A51D12"/>
    <w:rsid w:val="00A51FE2"/>
    <w:rsid w:val="00A54328"/>
    <w:rsid w:val="00A54836"/>
    <w:rsid w:val="00A56390"/>
    <w:rsid w:val="00A56DD2"/>
    <w:rsid w:val="00A573EB"/>
    <w:rsid w:val="00A5786D"/>
    <w:rsid w:val="00A6023C"/>
    <w:rsid w:val="00A60DDE"/>
    <w:rsid w:val="00A634B5"/>
    <w:rsid w:val="00A650A7"/>
    <w:rsid w:val="00A67361"/>
    <w:rsid w:val="00A67917"/>
    <w:rsid w:val="00A70718"/>
    <w:rsid w:val="00A7158B"/>
    <w:rsid w:val="00A729A8"/>
    <w:rsid w:val="00A72BD1"/>
    <w:rsid w:val="00A739EC"/>
    <w:rsid w:val="00A74A01"/>
    <w:rsid w:val="00A74AD3"/>
    <w:rsid w:val="00A7697A"/>
    <w:rsid w:val="00A77C28"/>
    <w:rsid w:val="00A82566"/>
    <w:rsid w:val="00A82C3D"/>
    <w:rsid w:val="00A82C4B"/>
    <w:rsid w:val="00A86B5C"/>
    <w:rsid w:val="00A87250"/>
    <w:rsid w:val="00A90482"/>
    <w:rsid w:val="00A907BB"/>
    <w:rsid w:val="00A90FD3"/>
    <w:rsid w:val="00A919DC"/>
    <w:rsid w:val="00A936D5"/>
    <w:rsid w:val="00A96780"/>
    <w:rsid w:val="00AA05F2"/>
    <w:rsid w:val="00AA1AF6"/>
    <w:rsid w:val="00AA2AA8"/>
    <w:rsid w:val="00AA4385"/>
    <w:rsid w:val="00AA5415"/>
    <w:rsid w:val="00AA595C"/>
    <w:rsid w:val="00AA608F"/>
    <w:rsid w:val="00AA67B4"/>
    <w:rsid w:val="00AA7E74"/>
    <w:rsid w:val="00AB00F6"/>
    <w:rsid w:val="00AB12DA"/>
    <w:rsid w:val="00AB3983"/>
    <w:rsid w:val="00AB40E9"/>
    <w:rsid w:val="00AB44DA"/>
    <w:rsid w:val="00AB5F9D"/>
    <w:rsid w:val="00AB634B"/>
    <w:rsid w:val="00AB6535"/>
    <w:rsid w:val="00AB786A"/>
    <w:rsid w:val="00AC197E"/>
    <w:rsid w:val="00AC27E9"/>
    <w:rsid w:val="00AC2887"/>
    <w:rsid w:val="00AC2BD9"/>
    <w:rsid w:val="00AC3D12"/>
    <w:rsid w:val="00AC3D4A"/>
    <w:rsid w:val="00AC401E"/>
    <w:rsid w:val="00AC7C9E"/>
    <w:rsid w:val="00AD0D90"/>
    <w:rsid w:val="00AD200B"/>
    <w:rsid w:val="00AD2F25"/>
    <w:rsid w:val="00AD4331"/>
    <w:rsid w:val="00AD5174"/>
    <w:rsid w:val="00AE0AC7"/>
    <w:rsid w:val="00AE178D"/>
    <w:rsid w:val="00AE1C4C"/>
    <w:rsid w:val="00AE2BAF"/>
    <w:rsid w:val="00AE3F9E"/>
    <w:rsid w:val="00AE4D77"/>
    <w:rsid w:val="00AF088F"/>
    <w:rsid w:val="00AF2548"/>
    <w:rsid w:val="00AF6AC9"/>
    <w:rsid w:val="00AF714A"/>
    <w:rsid w:val="00AF7EF1"/>
    <w:rsid w:val="00B04FAA"/>
    <w:rsid w:val="00B05B57"/>
    <w:rsid w:val="00B05C1F"/>
    <w:rsid w:val="00B065F7"/>
    <w:rsid w:val="00B075C6"/>
    <w:rsid w:val="00B07F22"/>
    <w:rsid w:val="00B1131B"/>
    <w:rsid w:val="00B16D59"/>
    <w:rsid w:val="00B20DD4"/>
    <w:rsid w:val="00B20DD6"/>
    <w:rsid w:val="00B22C1E"/>
    <w:rsid w:val="00B22CF1"/>
    <w:rsid w:val="00B23B2C"/>
    <w:rsid w:val="00B242F3"/>
    <w:rsid w:val="00B24899"/>
    <w:rsid w:val="00B25ECA"/>
    <w:rsid w:val="00B266EA"/>
    <w:rsid w:val="00B278B6"/>
    <w:rsid w:val="00B27D43"/>
    <w:rsid w:val="00B30C3F"/>
    <w:rsid w:val="00B31242"/>
    <w:rsid w:val="00B33125"/>
    <w:rsid w:val="00B33EA5"/>
    <w:rsid w:val="00B33F0B"/>
    <w:rsid w:val="00B3545B"/>
    <w:rsid w:val="00B35BBB"/>
    <w:rsid w:val="00B3711B"/>
    <w:rsid w:val="00B37591"/>
    <w:rsid w:val="00B4045E"/>
    <w:rsid w:val="00B42E4F"/>
    <w:rsid w:val="00B43BF3"/>
    <w:rsid w:val="00B43F71"/>
    <w:rsid w:val="00B44D2E"/>
    <w:rsid w:val="00B44E1D"/>
    <w:rsid w:val="00B451AA"/>
    <w:rsid w:val="00B468F1"/>
    <w:rsid w:val="00B472F4"/>
    <w:rsid w:val="00B473A6"/>
    <w:rsid w:val="00B50CB5"/>
    <w:rsid w:val="00B52A9F"/>
    <w:rsid w:val="00B5358D"/>
    <w:rsid w:val="00B535B9"/>
    <w:rsid w:val="00B53E67"/>
    <w:rsid w:val="00B54E4E"/>
    <w:rsid w:val="00B56F92"/>
    <w:rsid w:val="00B6060A"/>
    <w:rsid w:val="00B61681"/>
    <w:rsid w:val="00B621DB"/>
    <w:rsid w:val="00B6398C"/>
    <w:rsid w:val="00B64951"/>
    <w:rsid w:val="00B64B6F"/>
    <w:rsid w:val="00B66AB1"/>
    <w:rsid w:val="00B6754B"/>
    <w:rsid w:val="00B72ABE"/>
    <w:rsid w:val="00B7355C"/>
    <w:rsid w:val="00B73E2E"/>
    <w:rsid w:val="00B745FD"/>
    <w:rsid w:val="00B75292"/>
    <w:rsid w:val="00B80410"/>
    <w:rsid w:val="00B81711"/>
    <w:rsid w:val="00B82521"/>
    <w:rsid w:val="00B825AA"/>
    <w:rsid w:val="00B833A9"/>
    <w:rsid w:val="00B842BB"/>
    <w:rsid w:val="00B8478F"/>
    <w:rsid w:val="00B84A3E"/>
    <w:rsid w:val="00B852ED"/>
    <w:rsid w:val="00B858C2"/>
    <w:rsid w:val="00B932BA"/>
    <w:rsid w:val="00B94411"/>
    <w:rsid w:val="00B94F9D"/>
    <w:rsid w:val="00B95321"/>
    <w:rsid w:val="00B9641F"/>
    <w:rsid w:val="00BA2D27"/>
    <w:rsid w:val="00BA3C32"/>
    <w:rsid w:val="00BA479B"/>
    <w:rsid w:val="00BB0F3B"/>
    <w:rsid w:val="00BB1BDA"/>
    <w:rsid w:val="00BB238F"/>
    <w:rsid w:val="00BB285B"/>
    <w:rsid w:val="00BB2B15"/>
    <w:rsid w:val="00BB64C5"/>
    <w:rsid w:val="00BB66C8"/>
    <w:rsid w:val="00BB6EA8"/>
    <w:rsid w:val="00BC1B8E"/>
    <w:rsid w:val="00BC2FE7"/>
    <w:rsid w:val="00BC534C"/>
    <w:rsid w:val="00BD06A4"/>
    <w:rsid w:val="00BD27CC"/>
    <w:rsid w:val="00BD3E69"/>
    <w:rsid w:val="00BD4706"/>
    <w:rsid w:val="00BD5243"/>
    <w:rsid w:val="00BD57FD"/>
    <w:rsid w:val="00BD779B"/>
    <w:rsid w:val="00BE01D0"/>
    <w:rsid w:val="00BE1BEA"/>
    <w:rsid w:val="00BE3F48"/>
    <w:rsid w:val="00BE42DD"/>
    <w:rsid w:val="00BE5524"/>
    <w:rsid w:val="00BE5D68"/>
    <w:rsid w:val="00BE6663"/>
    <w:rsid w:val="00BE72CC"/>
    <w:rsid w:val="00BF0340"/>
    <w:rsid w:val="00BF0B93"/>
    <w:rsid w:val="00BF0FB8"/>
    <w:rsid w:val="00BF1066"/>
    <w:rsid w:val="00BF1C1D"/>
    <w:rsid w:val="00BF1C6E"/>
    <w:rsid w:val="00BF3BB4"/>
    <w:rsid w:val="00BF48BF"/>
    <w:rsid w:val="00BF4A0A"/>
    <w:rsid w:val="00BF676C"/>
    <w:rsid w:val="00BF7640"/>
    <w:rsid w:val="00C00095"/>
    <w:rsid w:val="00C00AE1"/>
    <w:rsid w:val="00C015C2"/>
    <w:rsid w:val="00C03BE6"/>
    <w:rsid w:val="00C05B8E"/>
    <w:rsid w:val="00C0612F"/>
    <w:rsid w:val="00C104A2"/>
    <w:rsid w:val="00C12803"/>
    <w:rsid w:val="00C12B5E"/>
    <w:rsid w:val="00C12CCC"/>
    <w:rsid w:val="00C13C4D"/>
    <w:rsid w:val="00C16A37"/>
    <w:rsid w:val="00C176AA"/>
    <w:rsid w:val="00C20E15"/>
    <w:rsid w:val="00C20EEE"/>
    <w:rsid w:val="00C251A5"/>
    <w:rsid w:val="00C25B05"/>
    <w:rsid w:val="00C26310"/>
    <w:rsid w:val="00C2655C"/>
    <w:rsid w:val="00C26B3A"/>
    <w:rsid w:val="00C30E1A"/>
    <w:rsid w:val="00C3231B"/>
    <w:rsid w:val="00C3251A"/>
    <w:rsid w:val="00C3301B"/>
    <w:rsid w:val="00C35DED"/>
    <w:rsid w:val="00C36522"/>
    <w:rsid w:val="00C36EF9"/>
    <w:rsid w:val="00C40185"/>
    <w:rsid w:val="00C40CA6"/>
    <w:rsid w:val="00C41123"/>
    <w:rsid w:val="00C420BC"/>
    <w:rsid w:val="00C42A85"/>
    <w:rsid w:val="00C446D4"/>
    <w:rsid w:val="00C458BA"/>
    <w:rsid w:val="00C45F9D"/>
    <w:rsid w:val="00C46B38"/>
    <w:rsid w:val="00C50B0A"/>
    <w:rsid w:val="00C54112"/>
    <w:rsid w:val="00C55B6A"/>
    <w:rsid w:val="00C56862"/>
    <w:rsid w:val="00C56C10"/>
    <w:rsid w:val="00C62144"/>
    <w:rsid w:val="00C62DFD"/>
    <w:rsid w:val="00C63039"/>
    <w:rsid w:val="00C63C52"/>
    <w:rsid w:val="00C6488D"/>
    <w:rsid w:val="00C64D1C"/>
    <w:rsid w:val="00C653AA"/>
    <w:rsid w:val="00C65420"/>
    <w:rsid w:val="00C654D2"/>
    <w:rsid w:val="00C6613C"/>
    <w:rsid w:val="00C6622E"/>
    <w:rsid w:val="00C67D0F"/>
    <w:rsid w:val="00C70791"/>
    <w:rsid w:val="00C71536"/>
    <w:rsid w:val="00C72353"/>
    <w:rsid w:val="00C72630"/>
    <w:rsid w:val="00C72682"/>
    <w:rsid w:val="00C72A6E"/>
    <w:rsid w:val="00C751BA"/>
    <w:rsid w:val="00C76BF0"/>
    <w:rsid w:val="00C81D64"/>
    <w:rsid w:val="00C831B4"/>
    <w:rsid w:val="00C8336F"/>
    <w:rsid w:val="00C8360B"/>
    <w:rsid w:val="00C83773"/>
    <w:rsid w:val="00C8406B"/>
    <w:rsid w:val="00C84F27"/>
    <w:rsid w:val="00C86A09"/>
    <w:rsid w:val="00C90BA8"/>
    <w:rsid w:val="00C92B79"/>
    <w:rsid w:val="00C93982"/>
    <w:rsid w:val="00C93F32"/>
    <w:rsid w:val="00C93F88"/>
    <w:rsid w:val="00C956A1"/>
    <w:rsid w:val="00C961DC"/>
    <w:rsid w:val="00C972B8"/>
    <w:rsid w:val="00CA0C6C"/>
    <w:rsid w:val="00CA30DA"/>
    <w:rsid w:val="00CA3D6C"/>
    <w:rsid w:val="00CA7C84"/>
    <w:rsid w:val="00CB1F79"/>
    <w:rsid w:val="00CB3B34"/>
    <w:rsid w:val="00CB441A"/>
    <w:rsid w:val="00CB4EFA"/>
    <w:rsid w:val="00CB642E"/>
    <w:rsid w:val="00CC150F"/>
    <w:rsid w:val="00CC2CA4"/>
    <w:rsid w:val="00CC54E2"/>
    <w:rsid w:val="00CD00B1"/>
    <w:rsid w:val="00CD10DA"/>
    <w:rsid w:val="00CD1E46"/>
    <w:rsid w:val="00CD42AE"/>
    <w:rsid w:val="00CD630D"/>
    <w:rsid w:val="00CD668E"/>
    <w:rsid w:val="00CD66AE"/>
    <w:rsid w:val="00CD6989"/>
    <w:rsid w:val="00CE07C8"/>
    <w:rsid w:val="00CE0F25"/>
    <w:rsid w:val="00CE1000"/>
    <w:rsid w:val="00CE40E7"/>
    <w:rsid w:val="00CE5F7B"/>
    <w:rsid w:val="00CE6508"/>
    <w:rsid w:val="00CE6FFD"/>
    <w:rsid w:val="00CE7128"/>
    <w:rsid w:val="00CF0E87"/>
    <w:rsid w:val="00CF1EE8"/>
    <w:rsid w:val="00CF1FD6"/>
    <w:rsid w:val="00CF23E7"/>
    <w:rsid w:val="00CF2BAA"/>
    <w:rsid w:val="00CF369B"/>
    <w:rsid w:val="00CF3E65"/>
    <w:rsid w:val="00CF4D72"/>
    <w:rsid w:val="00CF4DAF"/>
    <w:rsid w:val="00CF5DFD"/>
    <w:rsid w:val="00CF78A9"/>
    <w:rsid w:val="00D00D5D"/>
    <w:rsid w:val="00D0105B"/>
    <w:rsid w:val="00D015AD"/>
    <w:rsid w:val="00D01964"/>
    <w:rsid w:val="00D01B5F"/>
    <w:rsid w:val="00D0262E"/>
    <w:rsid w:val="00D04710"/>
    <w:rsid w:val="00D05081"/>
    <w:rsid w:val="00D057AA"/>
    <w:rsid w:val="00D064C7"/>
    <w:rsid w:val="00D07357"/>
    <w:rsid w:val="00D0758B"/>
    <w:rsid w:val="00D07893"/>
    <w:rsid w:val="00D11853"/>
    <w:rsid w:val="00D12542"/>
    <w:rsid w:val="00D12840"/>
    <w:rsid w:val="00D12C5A"/>
    <w:rsid w:val="00D134FC"/>
    <w:rsid w:val="00D138F4"/>
    <w:rsid w:val="00D14C6B"/>
    <w:rsid w:val="00D1551E"/>
    <w:rsid w:val="00D1591F"/>
    <w:rsid w:val="00D16B5B"/>
    <w:rsid w:val="00D16C5C"/>
    <w:rsid w:val="00D20F0C"/>
    <w:rsid w:val="00D22BF3"/>
    <w:rsid w:val="00D241C6"/>
    <w:rsid w:val="00D255DA"/>
    <w:rsid w:val="00D25BDB"/>
    <w:rsid w:val="00D25EA1"/>
    <w:rsid w:val="00D27498"/>
    <w:rsid w:val="00D277E7"/>
    <w:rsid w:val="00D27837"/>
    <w:rsid w:val="00D30B24"/>
    <w:rsid w:val="00D30D04"/>
    <w:rsid w:val="00D32A60"/>
    <w:rsid w:val="00D33056"/>
    <w:rsid w:val="00D35234"/>
    <w:rsid w:val="00D356D7"/>
    <w:rsid w:val="00D4041D"/>
    <w:rsid w:val="00D4272E"/>
    <w:rsid w:val="00D44F1B"/>
    <w:rsid w:val="00D4547F"/>
    <w:rsid w:val="00D456C6"/>
    <w:rsid w:val="00D467A0"/>
    <w:rsid w:val="00D47D13"/>
    <w:rsid w:val="00D50805"/>
    <w:rsid w:val="00D51053"/>
    <w:rsid w:val="00D5213A"/>
    <w:rsid w:val="00D52206"/>
    <w:rsid w:val="00D52401"/>
    <w:rsid w:val="00D52CF5"/>
    <w:rsid w:val="00D53922"/>
    <w:rsid w:val="00D541CF"/>
    <w:rsid w:val="00D5573B"/>
    <w:rsid w:val="00D55921"/>
    <w:rsid w:val="00D56080"/>
    <w:rsid w:val="00D5750B"/>
    <w:rsid w:val="00D600B3"/>
    <w:rsid w:val="00D6095D"/>
    <w:rsid w:val="00D61004"/>
    <w:rsid w:val="00D61ED7"/>
    <w:rsid w:val="00D63A3A"/>
    <w:rsid w:val="00D640ED"/>
    <w:rsid w:val="00D641E3"/>
    <w:rsid w:val="00D66467"/>
    <w:rsid w:val="00D66F05"/>
    <w:rsid w:val="00D70804"/>
    <w:rsid w:val="00D71050"/>
    <w:rsid w:val="00D74181"/>
    <w:rsid w:val="00D748E8"/>
    <w:rsid w:val="00D74E69"/>
    <w:rsid w:val="00D76E68"/>
    <w:rsid w:val="00D81B95"/>
    <w:rsid w:val="00D81C48"/>
    <w:rsid w:val="00D8287B"/>
    <w:rsid w:val="00D82D77"/>
    <w:rsid w:val="00D82E93"/>
    <w:rsid w:val="00D83C7D"/>
    <w:rsid w:val="00D860B4"/>
    <w:rsid w:val="00D86E4E"/>
    <w:rsid w:val="00D92B85"/>
    <w:rsid w:val="00D92B94"/>
    <w:rsid w:val="00D93EAA"/>
    <w:rsid w:val="00D93EDD"/>
    <w:rsid w:val="00D94EBE"/>
    <w:rsid w:val="00D95211"/>
    <w:rsid w:val="00D95E92"/>
    <w:rsid w:val="00D9636B"/>
    <w:rsid w:val="00D968A6"/>
    <w:rsid w:val="00D96EC6"/>
    <w:rsid w:val="00D97368"/>
    <w:rsid w:val="00DA0F12"/>
    <w:rsid w:val="00DA382A"/>
    <w:rsid w:val="00DA61E6"/>
    <w:rsid w:val="00DA6229"/>
    <w:rsid w:val="00DA6583"/>
    <w:rsid w:val="00DB096B"/>
    <w:rsid w:val="00DB0A68"/>
    <w:rsid w:val="00DB28EA"/>
    <w:rsid w:val="00DB321F"/>
    <w:rsid w:val="00DB3929"/>
    <w:rsid w:val="00DB4FC4"/>
    <w:rsid w:val="00DB659D"/>
    <w:rsid w:val="00DC2329"/>
    <w:rsid w:val="00DC2E59"/>
    <w:rsid w:val="00DC3556"/>
    <w:rsid w:val="00DC4ECC"/>
    <w:rsid w:val="00DC58F6"/>
    <w:rsid w:val="00DC61E0"/>
    <w:rsid w:val="00DC7E30"/>
    <w:rsid w:val="00DD4169"/>
    <w:rsid w:val="00DD478A"/>
    <w:rsid w:val="00DD6DFC"/>
    <w:rsid w:val="00DE234A"/>
    <w:rsid w:val="00DE4741"/>
    <w:rsid w:val="00DE75B1"/>
    <w:rsid w:val="00DF00B6"/>
    <w:rsid w:val="00DF13DA"/>
    <w:rsid w:val="00DF1D96"/>
    <w:rsid w:val="00DF2F4F"/>
    <w:rsid w:val="00DF5B4B"/>
    <w:rsid w:val="00DF6128"/>
    <w:rsid w:val="00DF63D1"/>
    <w:rsid w:val="00DF6890"/>
    <w:rsid w:val="00DF68A5"/>
    <w:rsid w:val="00DF69A2"/>
    <w:rsid w:val="00DF6E52"/>
    <w:rsid w:val="00DF7323"/>
    <w:rsid w:val="00E01159"/>
    <w:rsid w:val="00E0177F"/>
    <w:rsid w:val="00E01EE2"/>
    <w:rsid w:val="00E020B0"/>
    <w:rsid w:val="00E02871"/>
    <w:rsid w:val="00E042FF"/>
    <w:rsid w:val="00E04BE8"/>
    <w:rsid w:val="00E11F87"/>
    <w:rsid w:val="00E166A5"/>
    <w:rsid w:val="00E16BDF"/>
    <w:rsid w:val="00E178FB"/>
    <w:rsid w:val="00E2035A"/>
    <w:rsid w:val="00E204E8"/>
    <w:rsid w:val="00E2243C"/>
    <w:rsid w:val="00E235C7"/>
    <w:rsid w:val="00E242C2"/>
    <w:rsid w:val="00E2433A"/>
    <w:rsid w:val="00E24C86"/>
    <w:rsid w:val="00E26A24"/>
    <w:rsid w:val="00E3643B"/>
    <w:rsid w:val="00E364D2"/>
    <w:rsid w:val="00E42ABE"/>
    <w:rsid w:val="00E44123"/>
    <w:rsid w:val="00E45CBF"/>
    <w:rsid w:val="00E500A0"/>
    <w:rsid w:val="00E50E1C"/>
    <w:rsid w:val="00E5169D"/>
    <w:rsid w:val="00E51A40"/>
    <w:rsid w:val="00E51CA6"/>
    <w:rsid w:val="00E52ADD"/>
    <w:rsid w:val="00E56926"/>
    <w:rsid w:val="00E61882"/>
    <w:rsid w:val="00E62FB7"/>
    <w:rsid w:val="00E64447"/>
    <w:rsid w:val="00E66479"/>
    <w:rsid w:val="00E676A4"/>
    <w:rsid w:val="00E704DE"/>
    <w:rsid w:val="00E70E3E"/>
    <w:rsid w:val="00E71D58"/>
    <w:rsid w:val="00E7275B"/>
    <w:rsid w:val="00E72D6B"/>
    <w:rsid w:val="00E738DD"/>
    <w:rsid w:val="00E7390E"/>
    <w:rsid w:val="00E746F5"/>
    <w:rsid w:val="00E81CFF"/>
    <w:rsid w:val="00E82052"/>
    <w:rsid w:val="00E8213D"/>
    <w:rsid w:val="00E8284B"/>
    <w:rsid w:val="00E83DBC"/>
    <w:rsid w:val="00E85A95"/>
    <w:rsid w:val="00E85EC1"/>
    <w:rsid w:val="00E8635E"/>
    <w:rsid w:val="00E8673D"/>
    <w:rsid w:val="00E86FC0"/>
    <w:rsid w:val="00E87646"/>
    <w:rsid w:val="00E9180C"/>
    <w:rsid w:val="00E9238E"/>
    <w:rsid w:val="00E92472"/>
    <w:rsid w:val="00E944E7"/>
    <w:rsid w:val="00E95BC8"/>
    <w:rsid w:val="00E960C5"/>
    <w:rsid w:val="00EA08D7"/>
    <w:rsid w:val="00EA2368"/>
    <w:rsid w:val="00EA3069"/>
    <w:rsid w:val="00EA337C"/>
    <w:rsid w:val="00EA4124"/>
    <w:rsid w:val="00EA4C92"/>
    <w:rsid w:val="00EA5B5C"/>
    <w:rsid w:val="00EB1A2A"/>
    <w:rsid w:val="00EB3147"/>
    <w:rsid w:val="00EB481D"/>
    <w:rsid w:val="00EB4A1B"/>
    <w:rsid w:val="00EB4FE7"/>
    <w:rsid w:val="00EB7AF5"/>
    <w:rsid w:val="00EC11A0"/>
    <w:rsid w:val="00EC161A"/>
    <w:rsid w:val="00EC383A"/>
    <w:rsid w:val="00EC396F"/>
    <w:rsid w:val="00EC3EE1"/>
    <w:rsid w:val="00EC45D0"/>
    <w:rsid w:val="00EC48C7"/>
    <w:rsid w:val="00EC50A1"/>
    <w:rsid w:val="00ED1C01"/>
    <w:rsid w:val="00ED2D98"/>
    <w:rsid w:val="00ED3448"/>
    <w:rsid w:val="00ED34CC"/>
    <w:rsid w:val="00ED4005"/>
    <w:rsid w:val="00ED74FB"/>
    <w:rsid w:val="00EE01C9"/>
    <w:rsid w:val="00EE2331"/>
    <w:rsid w:val="00EE2758"/>
    <w:rsid w:val="00EE28BF"/>
    <w:rsid w:val="00EE2AF5"/>
    <w:rsid w:val="00EE3D2A"/>
    <w:rsid w:val="00EE3DA6"/>
    <w:rsid w:val="00EE432B"/>
    <w:rsid w:val="00EE47DE"/>
    <w:rsid w:val="00EE6C37"/>
    <w:rsid w:val="00EE6CF6"/>
    <w:rsid w:val="00EE7148"/>
    <w:rsid w:val="00EE74A2"/>
    <w:rsid w:val="00EE7645"/>
    <w:rsid w:val="00EF1E6E"/>
    <w:rsid w:val="00EF45B8"/>
    <w:rsid w:val="00EF48E0"/>
    <w:rsid w:val="00EF6873"/>
    <w:rsid w:val="00F00993"/>
    <w:rsid w:val="00F02506"/>
    <w:rsid w:val="00F02FE9"/>
    <w:rsid w:val="00F05012"/>
    <w:rsid w:val="00F05F2C"/>
    <w:rsid w:val="00F064D5"/>
    <w:rsid w:val="00F07ECD"/>
    <w:rsid w:val="00F07F97"/>
    <w:rsid w:val="00F10678"/>
    <w:rsid w:val="00F11B7B"/>
    <w:rsid w:val="00F123A1"/>
    <w:rsid w:val="00F12457"/>
    <w:rsid w:val="00F13C92"/>
    <w:rsid w:val="00F15130"/>
    <w:rsid w:val="00F17583"/>
    <w:rsid w:val="00F20427"/>
    <w:rsid w:val="00F208EA"/>
    <w:rsid w:val="00F20EBE"/>
    <w:rsid w:val="00F217CB"/>
    <w:rsid w:val="00F21D5D"/>
    <w:rsid w:val="00F21F3C"/>
    <w:rsid w:val="00F225AF"/>
    <w:rsid w:val="00F22977"/>
    <w:rsid w:val="00F2319C"/>
    <w:rsid w:val="00F24152"/>
    <w:rsid w:val="00F2695C"/>
    <w:rsid w:val="00F27806"/>
    <w:rsid w:val="00F30846"/>
    <w:rsid w:val="00F328AD"/>
    <w:rsid w:val="00F32CAB"/>
    <w:rsid w:val="00F33133"/>
    <w:rsid w:val="00F33843"/>
    <w:rsid w:val="00F33DFC"/>
    <w:rsid w:val="00F3566B"/>
    <w:rsid w:val="00F35A7B"/>
    <w:rsid w:val="00F367BB"/>
    <w:rsid w:val="00F37182"/>
    <w:rsid w:val="00F371E4"/>
    <w:rsid w:val="00F378C4"/>
    <w:rsid w:val="00F43BE8"/>
    <w:rsid w:val="00F4742D"/>
    <w:rsid w:val="00F50729"/>
    <w:rsid w:val="00F50F5C"/>
    <w:rsid w:val="00F513D3"/>
    <w:rsid w:val="00F521B5"/>
    <w:rsid w:val="00F522C5"/>
    <w:rsid w:val="00F526A0"/>
    <w:rsid w:val="00F52DC7"/>
    <w:rsid w:val="00F5364F"/>
    <w:rsid w:val="00F53A5A"/>
    <w:rsid w:val="00F5429E"/>
    <w:rsid w:val="00F566A6"/>
    <w:rsid w:val="00F612D0"/>
    <w:rsid w:val="00F632DE"/>
    <w:rsid w:val="00F64462"/>
    <w:rsid w:val="00F64A36"/>
    <w:rsid w:val="00F64EFB"/>
    <w:rsid w:val="00F6619C"/>
    <w:rsid w:val="00F66ED4"/>
    <w:rsid w:val="00F67D36"/>
    <w:rsid w:val="00F71768"/>
    <w:rsid w:val="00F724F0"/>
    <w:rsid w:val="00F72CB5"/>
    <w:rsid w:val="00F737EA"/>
    <w:rsid w:val="00F74312"/>
    <w:rsid w:val="00F7543C"/>
    <w:rsid w:val="00F75BC5"/>
    <w:rsid w:val="00F7664A"/>
    <w:rsid w:val="00F773B2"/>
    <w:rsid w:val="00F77679"/>
    <w:rsid w:val="00F817D8"/>
    <w:rsid w:val="00F83754"/>
    <w:rsid w:val="00F84506"/>
    <w:rsid w:val="00F84CB6"/>
    <w:rsid w:val="00F860B2"/>
    <w:rsid w:val="00F92A82"/>
    <w:rsid w:val="00F95F07"/>
    <w:rsid w:val="00F969C0"/>
    <w:rsid w:val="00FA07A6"/>
    <w:rsid w:val="00FA0EEE"/>
    <w:rsid w:val="00FA0F6B"/>
    <w:rsid w:val="00FA109A"/>
    <w:rsid w:val="00FA131D"/>
    <w:rsid w:val="00FA2D1C"/>
    <w:rsid w:val="00FA3716"/>
    <w:rsid w:val="00FA3C96"/>
    <w:rsid w:val="00FA48F7"/>
    <w:rsid w:val="00FA4D25"/>
    <w:rsid w:val="00FA6039"/>
    <w:rsid w:val="00FA773F"/>
    <w:rsid w:val="00FB1463"/>
    <w:rsid w:val="00FB14B3"/>
    <w:rsid w:val="00FB162F"/>
    <w:rsid w:val="00FB1F35"/>
    <w:rsid w:val="00FB3A3B"/>
    <w:rsid w:val="00FB4168"/>
    <w:rsid w:val="00FB4C92"/>
    <w:rsid w:val="00FB54B7"/>
    <w:rsid w:val="00FB62AD"/>
    <w:rsid w:val="00FC2F42"/>
    <w:rsid w:val="00FC3C6D"/>
    <w:rsid w:val="00FC55F8"/>
    <w:rsid w:val="00FC64DE"/>
    <w:rsid w:val="00FC6AF0"/>
    <w:rsid w:val="00FC70D6"/>
    <w:rsid w:val="00FC7A5F"/>
    <w:rsid w:val="00FD3DC3"/>
    <w:rsid w:val="00FD4160"/>
    <w:rsid w:val="00FD4EF4"/>
    <w:rsid w:val="00FD595B"/>
    <w:rsid w:val="00FD5E52"/>
    <w:rsid w:val="00FD63DD"/>
    <w:rsid w:val="00FD696E"/>
    <w:rsid w:val="00FE00D5"/>
    <w:rsid w:val="00FE0BAA"/>
    <w:rsid w:val="00FE0D68"/>
    <w:rsid w:val="00FE0E00"/>
    <w:rsid w:val="00FE26F5"/>
    <w:rsid w:val="00FE4EE6"/>
    <w:rsid w:val="00FE787C"/>
    <w:rsid w:val="00FF09C3"/>
    <w:rsid w:val="00FF1AB5"/>
    <w:rsid w:val="00FF1D62"/>
    <w:rsid w:val="00FF213C"/>
    <w:rsid w:val="00FF2AF9"/>
    <w:rsid w:val="00FF356F"/>
    <w:rsid w:val="00FF5D19"/>
    <w:rsid w:val="00FF7C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2DB9EB2-78F5-4DDA-A175-2209CD845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15D"/>
    <w:rPr>
      <w:sz w:val="24"/>
      <w:szCs w:val="24"/>
    </w:rPr>
  </w:style>
  <w:style w:type="paragraph" w:styleId="Titre1">
    <w:name w:val="heading 1"/>
    <w:basedOn w:val="Normal"/>
    <w:next w:val="Titre2"/>
    <w:qFormat/>
    <w:rsid w:val="000E2B54"/>
    <w:pPr>
      <w:numPr>
        <w:numId w:val="4"/>
      </w:numPr>
      <w:jc w:val="both"/>
      <w:outlineLvl w:val="0"/>
    </w:pPr>
    <w:rPr>
      <w:rFonts w:ascii="Arial" w:hAnsi="Arial"/>
      <w:b/>
      <w:color w:val="333399"/>
      <w:u w:val="single"/>
    </w:rPr>
  </w:style>
  <w:style w:type="paragraph" w:styleId="Titre2">
    <w:name w:val="heading 2"/>
    <w:basedOn w:val="Normal"/>
    <w:next w:val="Corpsdetexte"/>
    <w:qFormat/>
    <w:rsid w:val="000E2B54"/>
    <w:pPr>
      <w:numPr>
        <w:ilvl w:val="1"/>
        <w:numId w:val="4"/>
      </w:numPr>
      <w:jc w:val="both"/>
      <w:outlineLvl w:val="1"/>
    </w:pPr>
    <w:rPr>
      <w:rFonts w:ascii="Arial" w:hAnsi="Arial" w:cs="Arial"/>
      <w:b/>
      <w:i/>
      <w:color w:val="333399"/>
      <w:sz w:val="20"/>
      <w:szCs w:val="20"/>
    </w:rPr>
  </w:style>
  <w:style w:type="paragraph" w:styleId="Titre3">
    <w:name w:val="heading 3"/>
    <w:aliases w:val="Titre 1."/>
    <w:basedOn w:val="Normal"/>
    <w:next w:val="Normal"/>
    <w:link w:val="Titre3Car"/>
    <w:qFormat/>
    <w:rsid w:val="003D357C"/>
    <w:pPr>
      <w:jc w:val="both"/>
      <w:outlineLvl w:val="2"/>
    </w:pPr>
    <w:rPr>
      <w:rFonts w:ascii="Arial" w:hAnsi="Arial" w:cs="Arial"/>
      <w:i/>
      <w:sz w:val="20"/>
      <w:szCs w:val="20"/>
      <w:u w:val="single"/>
    </w:rPr>
  </w:style>
  <w:style w:type="paragraph" w:styleId="Titre4">
    <w:name w:val="heading 4"/>
    <w:aliases w:val="Titre 1.1."/>
    <w:basedOn w:val="Normal"/>
    <w:next w:val="Normal"/>
    <w:link w:val="Titre4Car"/>
    <w:qFormat/>
    <w:rsid w:val="00A46F88"/>
    <w:pPr>
      <w:jc w:val="both"/>
      <w:outlineLvl w:val="3"/>
    </w:pPr>
    <w:rPr>
      <w:rFonts w:ascii="Arial" w:hAnsi="Arial" w:cs="Arial"/>
      <w:i/>
      <w:color w:val="333399"/>
      <w:sz w:val="20"/>
      <w:szCs w:val="20"/>
    </w:rPr>
  </w:style>
  <w:style w:type="paragraph" w:styleId="Titre5">
    <w:name w:val="heading 5"/>
    <w:aliases w:val="Titre 1.1.1."/>
    <w:basedOn w:val="Titre4"/>
    <w:next w:val="Normal"/>
    <w:link w:val="Titre5Car"/>
    <w:qFormat/>
    <w:rsid w:val="002B2ED7"/>
    <w:pPr>
      <w:outlineLvl w:val="4"/>
    </w:pPr>
  </w:style>
  <w:style w:type="paragraph" w:styleId="Titre6">
    <w:name w:val="heading 6"/>
    <w:aliases w:val="Titre 1.1.1.1."/>
    <w:basedOn w:val="Normal"/>
    <w:next w:val="Normal"/>
    <w:link w:val="Titre6Car"/>
    <w:qFormat/>
    <w:rsid w:val="00906548"/>
    <w:pPr>
      <w:spacing w:before="240" w:after="60"/>
      <w:outlineLvl w:val="5"/>
    </w:pPr>
    <w:rPr>
      <w:b/>
      <w:bCs/>
      <w:sz w:val="22"/>
      <w:szCs w:val="22"/>
    </w:rPr>
  </w:style>
  <w:style w:type="paragraph" w:styleId="Titre7">
    <w:name w:val="heading 7"/>
    <w:basedOn w:val="Normal"/>
    <w:next w:val="Normal"/>
    <w:qFormat/>
    <w:rsid w:val="00906548"/>
    <w:pPr>
      <w:numPr>
        <w:ilvl w:val="6"/>
        <w:numId w:val="1"/>
      </w:numPr>
      <w:spacing w:before="240" w:after="60"/>
      <w:outlineLvl w:val="6"/>
    </w:pPr>
  </w:style>
  <w:style w:type="paragraph" w:styleId="Titre8">
    <w:name w:val="heading 8"/>
    <w:basedOn w:val="Normal"/>
    <w:next w:val="Normal"/>
    <w:qFormat/>
    <w:rsid w:val="00906548"/>
    <w:pPr>
      <w:numPr>
        <w:ilvl w:val="7"/>
        <w:numId w:val="1"/>
      </w:numPr>
      <w:spacing w:before="240" w:after="60"/>
      <w:outlineLvl w:val="7"/>
    </w:pPr>
    <w:rPr>
      <w:i/>
      <w:iCs/>
    </w:rPr>
  </w:style>
  <w:style w:type="paragraph" w:styleId="Titre9">
    <w:name w:val="heading 9"/>
    <w:basedOn w:val="Normal"/>
    <w:next w:val="Normal"/>
    <w:qFormat/>
    <w:rsid w:val="00906548"/>
    <w:pPr>
      <w:numPr>
        <w:ilvl w:val="8"/>
        <w:numId w:val="1"/>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7133D1"/>
    <w:pPr>
      <w:tabs>
        <w:tab w:val="center" w:pos="4536"/>
        <w:tab w:val="right" w:pos="9072"/>
      </w:tabs>
    </w:pPr>
  </w:style>
  <w:style w:type="paragraph" w:styleId="Pieddepage">
    <w:name w:val="footer"/>
    <w:basedOn w:val="Normal"/>
    <w:rsid w:val="007133D1"/>
    <w:pPr>
      <w:tabs>
        <w:tab w:val="center" w:pos="4536"/>
        <w:tab w:val="right" w:pos="9072"/>
      </w:tabs>
    </w:pPr>
  </w:style>
  <w:style w:type="table" w:styleId="Grilledutableau">
    <w:name w:val="Table Grid"/>
    <w:basedOn w:val="TableauNormal"/>
    <w:rsid w:val="00A6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semiHidden/>
    <w:rsid w:val="00AB44DA"/>
  </w:style>
  <w:style w:type="paragraph" w:styleId="Corpsdetexte">
    <w:name w:val="Body Text"/>
    <w:basedOn w:val="Normal"/>
    <w:link w:val="CorpsdetexteCar"/>
    <w:rsid w:val="006B7513"/>
    <w:pPr>
      <w:spacing w:before="120"/>
    </w:pPr>
    <w:rPr>
      <w:rFonts w:ascii="Arial" w:hAnsi="Arial" w:cs="Arial"/>
      <w:sz w:val="20"/>
      <w:szCs w:val="20"/>
    </w:rPr>
  </w:style>
  <w:style w:type="paragraph" w:styleId="Notedebasdepage">
    <w:name w:val="footnote text"/>
    <w:aliases w:val="n,Fußnotentext wam,Footnote Text Char,Footnote Text Char2 Char,Footnote Text Char Char Char1,Footnote Text Char1 Char Char Char,Footnote Text Char2 Char Char Char Char,Footnote Text Char1 Char1 Char Char Char Char,Reference"/>
    <w:basedOn w:val="Normal"/>
    <w:link w:val="NotedebasdepageCar"/>
    <w:uiPriority w:val="99"/>
    <w:rsid w:val="001F1D73"/>
    <w:rPr>
      <w:sz w:val="20"/>
      <w:szCs w:val="20"/>
    </w:rPr>
  </w:style>
  <w:style w:type="character" w:styleId="Appelnotedebasdep">
    <w:name w:val="footnote reference"/>
    <w:aliases w:val="Footnote number,SUPERS,BVI fnr"/>
    <w:uiPriority w:val="99"/>
    <w:rsid w:val="001F1D73"/>
    <w:rPr>
      <w:vertAlign w:val="superscript"/>
    </w:rPr>
  </w:style>
  <w:style w:type="paragraph" w:styleId="Liste">
    <w:name w:val="List"/>
    <w:basedOn w:val="Normal"/>
    <w:rsid w:val="00C36EF9"/>
    <w:pPr>
      <w:ind w:left="283" w:hanging="283"/>
    </w:pPr>
  </w:style>
  <w:style w:type="paragraph" w:styleId="Liste2">
    <w:name w:val="List 2"/>
    <w:basedOn w:val="Normal"/>
    <w:rsid w:val="00C36EF9"/>
    <w:pPr>
      <w:ind w:left="566" w:hanging="283"/>
    </w:pPr>
  </w:style>
  <w:style w:type="paragraph" w:styleId="Liste3">
    <w:name w:val="List 3"/>
    <w:basedOn w:val="Normal"/>
    <w:rsid w:val="00C36EF9"/>
    <w:pPr>
      <w:ind w:left="849" w:hanging="283"/>
    </w:pPr>
  </w:style>
  <w:style w:type="paragraph" w:styleId="Listepuces">
    <w:name w:val="List Bullet"/>
    <w:basedOn w:val="Normal"/>
    <w:rsid w:val="00C36EF9"/>
    <w:pPr>
      <w:numPr>
        <w:numId w:val="2"/>
      </w:numPr>
    </w:pPr>
  </w:style>
  <w:style w:type="paragraph" w:styleId="Listepuces2">
    <w:name w:val="List Bullet 2"/>
    <w:basedOn w:val="Normal"/>
    <w:rsid w:val="00C36EF9"/>
    <w:pPr>
      <w:numPr>
        <w:numId w:val="3"/>
      </w:numPr>
    </w:pPr>
  </w:style>
  <w:style w:type="paragraph" w:styleId="Retraitcorpsdetexte">
    <w:name w:val="Body Text Indent"/>
    <w:basedOn w:val="Normal"/>
    <w:rsid w:val="00C36EF9"/>
    <w:pPr>
      <w:spacing w:after="120"/>
      <w:ind w:left="283"/>
    </w:pPr>
  </w:style>
  <w:style w:type="paragraph" w:styleId="Retraitcorpset1relig">
    <w:name w:val="Body Text First Indent 2"/>
    <w:basedOn w:val="Retraitcorpsdetexte"/>
    <w:rsid w:val="00C36EF9"/>
    <w:pPr>
      <w:ind w:firstLine="210"/>
    </w:pPr>
  </w:style>
  <w:style w:type="paragraph" w:styleId="Textedebulles">
    <w:name w:val="Balloon Text"/>
    <w:basedOn w:val="Normal"/>
    <w:semiHidden/>
    <w:rsid w:val="004D0D55"/>
    <w:rPr>
      <w:rFonts w:ascii="Tahoma" w:hAnsi="Tahoma" w:cs="Tahoma"/>
      <w:sz w:val="16"/>
      <w:szCs w:val="16"/>
    </w:rPr>
  </w:style>
  <w:style w:type="character" w:styleId="Lienhypertexte">
    <w:name w:val="Hyperlink"/>
    <w:uiPriority w:val="99"/>
    <w:rsid w:val="0099715D"/>
    <w:rPr>
      <w:color w:val="0000FF"/>
      <w:u w:val="single"/>
    </w:rPr>
  </w:style>
  <w:style w:type="character" w:styleId="Lienhypertextesuivivisit">
    <w:name w:val="FollowedHyperlink"/>
    <w:rsid w:val="0099715D"/>
    <w:rPr>
      <w:color w:val="0000FF"/>
      <w:u w:val="single"/>
    </w:rPr>
  </w:style>
  <w:style w:type="character" w:styleId="Marquedecommentaire">
    <w:name w:val="annotation reference"/>
    <w:rsid w:val="009E0D3B"/>
    <w:rPr>
      <w:sz w:val="16"/>
      <w:szCs w:val="16"/>
    </w:rPr>
  </w:style>
  <w:style w:type="paragraph" w:styleId="Commentaire">
    <w:name w:val="annotation text"/>
    <w:basedOn w:val="Normal"/>
    <w:link w:val="CommentaireCar"/>
    <w:rsid w:val="009E0D3B"/>
    <w:rPr>
      <w:sz w:val="20"/>
      <w:szCs w:val="20"/>
    </w:rPr>
  </w:style>
  <w:style w:type="character" w:customStyle="1" w:styleId="CommentaireCar">
    <w:name w:val="Commentaire Car"/>
    <w:basedOn w:val="Policepardfaut"/>
    <w:link w:val="Commentaire"/>
    <w:rsid w:val="009E0D3B"/>
  </w:style>
  <w:style w:type="paragraph" w:styleId="Objetducommentaire">
    <w:name w:val="annotation subject"/>
    <w:basedOn w:val="Commentaire"/>
    <w:next w:val="Commentaire"/>
    <w:link w:val="ObjetducommentaireCar"/>
    <w:rsid w:val="009E0D3B"/>
    <w:rPr>
      <w:b/>
      <w:bCs/>
    </w:rPr>
  </w:style>
  <w:style w:type="character" w:customStyle="1" w:styleId="ObjetducommentaireCar">
    <w:name w:val="Objet du commentaire Car"/>
    <w:link w:val="Objetducommentaire"/>
    <w:rsid w:val="009E0D3B"/>
    <w:rPr>
      <w:b/>
      <w:bCs/>
    </w:rPr>
  </w:style>
  <w:style w:type="paragraph" w:styleId="PrformatHTML">
    <w:name w:val="HTML Preformatted"/>
    <w:basedOn w:val="Normal"/>
    <w:link w:val="PrformatHTMLCar"/>
    <w:rsid w:val="008C3B5D"/>
    <w:rPr>
      <w:rFonts w:ascii="Courier New" w:hAnsi="Courier New" w:cs="Courier New"/>
      <w:sz w:val="20"/>
      <w:szCs w:val="20"/>
    </w:rPr>
  </w:style>
  <w:style w:type="character" w:customStyle="1" w:styleId="PrformatHTMLCar">
    <w:name w:val="Préformaté HTML Car"/>
    <w:link w:val="PrformatHTML"/>
    <w:rsid w:val="008C3B5D"/>
    <w:rPr>
      <w:rFonts w:ascii="Courier New" w:hAnsi="Courier New" w:cs="Courier New"/>
    </w:rPr>
  </w:style>
  <w:style w:type="paragraph" w:styleId="Paragraphedeliste">
    <w:name w:val="List Paragraph"/>
    <w:basedOn w:val="Normal"/>
    <w:uiPriority w:val="34"/>
    <w:qFormat/>
    <w:rsid w:val="00641C80"/>
    <w:pPr>
      <w:ind w:left="708"/>
    </w:pPr>
  </w:style>
  <w:style w:type="character" w:customStyle="1" w:styleId="Titre5Car">
    <w:name w:val="Titre 5 Car"/>
    <w:aliases w:val="Titre 1.1.1. Car"/>
    <w:link w:val="Titre5"/>
    <w:rsid w:val="002278FC"/>
    <w:rPr>
      <w:rFonts w:ascii="Arial" w:hAnsi="Arial" w:cs="Arial"/>
      <w:i/>
      <w:color w:val="333399"/>
    </w:rPr>
  </w:style>
  <w:style w:type="character" w:customStyle="1" w:styleId="Titre4Car">
    <w:name w:val="Titre 4 Car"/>
    <w:aliases w:val="Titre 1.1. Car"/>
    <w:link w:val="Titre4"/>
    <w:rsid w:val="00853312"/>
    <w:rPr>
      <w:rFonts w:ascii="Arial" w:hAnsi="Arial" w:cs="Arial"/>
      <w:i/>
      <w:color w:val="333399"/>
    </w:rPr>
  </w:style>
  <w:style w:type="paragraph" w:styleId="Titre">
    <w:name w:val="Title"/>
    <w:aliases w:val="Titre 0 - Fiche"/>
    <w:basedOn w:val="Normal"/>
    <w:next w:val="Normal"/>
    <w:link w:val="TitreCar"/>
    <w:qFormat/>
    <w:rsid w:val="00FB14B3"/>
    <w:pPr>
      <w:spacing w:before="240" w:after="60"/>
      <w:jc w:val="center"/>
      <w:outlineLvl w:val="0"/>
    </w:pPr>
    <w:rPr>
      <w:rFonts w:ascii="Cambria" w:hAnsi="Cambria"/>
      <w:b/>
      <w:bCs/>
      <w:kern w:val="28"/>
      <w:sz w:val="32"/>
      <w:szCs w:val="32"/>
    </w:rPr>
  </w:style>
  <w:style w:type="character" w:customStyle="1" w:styleId="TitreCar">
    <w:name w:val="Titre Car"/>
    <w:aliases w:val="Titre 0 - Fiche Car"/>
    <w:link w:val="Titre"/>
    <w:rsid w:val="00FB14B3"/>
    <w:rPr>
      <w:rFonts w:ascii="Cambria" w:eastAsia="Times New Roman" w:hAnsi="Cambria" w:cs="Times New Roman"/>
      <w:b/>
      <w:bCs/>
      <w:kern w:val="28"/>
      <w:sz w:val="32"/>
      <w:szCs w:val="32"/>
    </w:rPr>
  </w:style>
  <w:style w:type="character" w:customStyle="1" w:styleId="Titre3Car">
    <w:name w:val="Titre 3 Car"/>
    <w:aliases w:val="Titre 1. Car"/>
    <w:link w:val="Titre3"/>
    <w:rsid w:val="003D357C"/>
    <w:rPr>
      <w:rFonts w:ascii="Arial" w:hAnsi="Arial" w:cs="Arial"/>
      <w:i/>
      <w:u w:val="single"/>
    </w:rPr>
  </w:style>
  <w:style w:type="paragraph" w:styleId="Corpsdetexte2">
    <w:name w:val="Body Text 2"/>
    <w:basedOn w:val="Normal"/>
    <w:link w:val="Corpsdetexte2Car"/>
    <w:rsid w:val="0024659C"/>
    <w:pPr>
      <w:spacing w:after="120" w:line="480" w:lineRule="auto"/>
    </w:pPr>
  </w:style>
  <w:style w:type="character" w:customStyle="1" w:styleId="Corpsdetexte2Car">
    <w:name w:val="Corps de texte 2 Car"/>
    <w:link w:val="Corpsdetexte2"/>
    <w:rsid w:val="0024659C"/>
    <w:rPr>
      <w:sz w:val="24"/>
      <w:szCs w:val="24"/>
    </w:rPr>
  </w:style>
  <w:style w:type="paragraph" w:styleId="Corpsdetexte3">
    <w:name w:val="Body Text 3"/>
    <w:basedOn w:val="Normal"/>
    <w:link w:val="Corpsdetexte3Car"/>
    <w:rsid w:val="0024659C"/>
    <w:pPr>
      <w:spacing w:after="120"/>
    </w:pPr>
    <w:rPr>
      <w:sz w:val="16"/>
      <w:szCs w:val="16"/>
    </w:rPr>
  </w:style>
  <w:style w:type="character" w:customStyle="1" w:styleId="Corpsdetexte3Car">
    <w:name w:val="Corps de texte 3 Car"/>
    <w:link w:val="Corpsdetexte3"/>
    <w:rsid w:val="0024659C"/>
    <w:rPr>
      <w:sz w:val="16"/>
      <w:szCs w:val="16"/>
    </w:rPr>
  </w:style>
  <w:style w:type="character" w:customStyle="1" w:styleId="CorpsdetexteCar">
    <w:name w:val="Corps de texte Car"/>
    <w:link w:val="Corpsdetexte"/>
    <w:rsid w:val="0030361B"/>
    <w:rPr>
      <w:rFonts w:ascii="Arial" w:hAnsi="Arial" w:cs="Arial"/>
    </w:rPr>
  </w:style>
  <w:style w:type="character" w:customStyle="1" w:styleId="NotedebasdepageCar">
    <w:name w:val="Note de bas de page Car"/>
    <w:aliases w:val="n Car,Fußnotentext wam Car,Footnote Text Char Car,Footnote Text Char2 Char Car,Footnote Text Char Char Char1 Car,Footnote Text Char1 Char Char Char Car,Footnote Text Char2 Char Char Char Char Car,Reference Car"/>
    <w:link w:val="Notedebasdepage"/>
    <w:uiPriority w:val="99"/>
    <w:rsid w:val="0030361B"/>
  </w:style>
  <w:style w:type="character" w:customStyle="1" w:styleId="Corpsdutexte22">
    <w:name w:val="Corps du texte (22)"/>
    <w:uiPriority w:val="99"/>
    <w:rsid w:val="00CF1FD6"/>
    <w:rPr>
      <w:rFonts w:ascii="Arial Narrow" w:hAnsi="Arial Narrow" w:cs="Arial Narrow"/>
      <w:b/>
      <w:bCs/>
      <w:spacing w:val="50"/>
      <w:w w:val="100"/>
      <w:sz w:val="17"/>
      <w:szCs w:val="17"/>
      <w:u w:val="none"/>
    </w:rPr>
  </w:style>
  <w:style w:type="paragraph" w:customStyle="1" w:styleId="FicheTitre">
    <w:name w:val="Fiche Titre"/>
    <w:basedOn w:val="Normal"/>
    <w:link w:val="FicheTitreCar"/>
    <w:rsid w:val="00CF1FD6"/>
    <w:pPr>
      <w:tabs>
        <w:tab w:val="num" w:pos="720"/>
      </w:tabs>
      <w:spacing w:before="960" w:after="120" w:line="220" w:lineRule="exact"/>
      <w:ind w:left="714" w:hanging="357"/>
      <w:jc w:val="both"/>
    </w:pPr>
    <w:rPr>
      <w:rFonts w:ascii="Arial Narrow" w:hAnsi="Arial Narrow" w:cs="Arial"/>
      <w:b/>
      <w:smallCaps/>
      <w:noProof/>
      <w:color w:val="7030A0"/>
      <w:spacing w:val="30"/>
      <w:sz w:val="17"/>
      <w:szCs w:val="20"/>
    </w:rPr>
  </w:style>
  <w:style w:type="character" w:customStyle="1" w:styleId="FicheTitreCar">
    <w:name w:val="Fiche Titre Car"/>
    <w:link w:val="FicheTitre"/>
    <w:rsid w:val="00CF1FD6"/>
    <w:rPr>
      <w:rFonts w:ascii="Arial Narrow" w:hAnsi="Arial Narrow" w:cs="Arial"/>
      <w:b/>
      <w:smallCaps/>
      <w:noProof/>
      <w:color w:val="7030A0"/>
      <w:spacing w:val="30"/>
      <w:sz w:val="17"/>
    </w:rPr>
  </w:style>
  <w:style w:type="character" w:customStyle="1" w:styleId="Titre6Car">
    <w:name w:val="Titre 6 Car"/>
    <w:aliases w:val="Titre 1.1.1.1. Car"/>
    <w:link w:val="Titre6"/>
    <w:rsid w:val="00450AE8"/>
    <w:rPr>
      <w:b/>
      <w:bCs/>
      <w:sz w:val="22"/>
      <w:szCs w:val="22"/>
    </w:rPr>
  </w:style>
  <w:style w:type="paragraph" w:styleId="Rvision">
    <w:name w:val="Revision"/>
    <w:hidden/>
    <w:uiPriority w:val="99"/>
    <w:semiHidden/>
    <w:rsid w:val="00805112"/>
    <w:rPr>
      <w:sz w:val="24"/>
      <w:szCs w:val="24"/>
    </w:rPr>
  </w:style>
  <w:style w:type="character" w:customStyle="1" w:styleId="highlight">
    <w:name w:val="highlight"/>
    <w:basedOn w:val="Policepardfaut"/>
    <w:rsid w:val="00897754"/>
  </w:style>
  <w:style w:type="paragraph" w:styleId="NormalWeb">
    <w:name w:val="Normal (Web)"/>
    <w:basedOn w:val="Normal"/>
    <w:uiPriority w:val="99"/>
    <w:unhideWhenUsed/>
    <w:rsid w:val="00F5429E"/>
    <w:pPr>
      <w:spacing w:before="100" w:beforeAutospacing="1" w:after="100" w:afterAutospacing="1"/>
    </w:pPr>
  </w:style>
  <w:style w:type="paragraph" w:styleId="Sansinterligne">
    <w:name w:val="No Spacing"/>
    <w:uiPriority w:val="1"/>
    <w:qFormat/>
    <w:rsid w:val="008E0DA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05837">
      <w:bodyDiv w:val="1"/>
      <w:marLeft w:val="0"/>
      <w:marRight w:val="0"/>
      <w:marTop w:val="0"/>
      <w:marBottom w:val="0"/>
      <w:divBdr>
        <w:top w:val="none" w:sz="0" w:space="0" w:color="auto"/>
        <w:left w:val="none" w:sz="0" w:space="0" w:color="auto"/>
        <w:bottom w:val="none" w:sz="0" w:space="0" w:color="auto"/>
        <w:right w:val="none" w:sz="0" w:space="0" w:color="auto"/>
      </w:divBdr>
    </w:div>
    <w:div w:id="292909870">
      <w:bodyDiv w:val="1"/>
      <w:marLeft w:val="0"/>
      <w:marRight w:val="0"/>
      <w:marTop w:val="0"/>
      <w:marBottom w:val="0"/>
      <w:divBdr>
        <w:top w:val="none" w:sz="0" w:space="0" w:color="auto"/>
        <w:left w:val="none" w:sz="0" w:space="0" w:color="auto"/>
        <w:bottom w:val="none" w:sz="0" w:space="0" w:color="auto"/>
        <w:right w:val="none" w:sz="0" w:space="0" w:color="auto"/>
      </w:divBdr>
    </w:div>
    <w:div w:id="413670133">
      <w:bodyDiv w:val="1"/>
      <w:marLeft w:val="0"/>
      <w:marRight w:val="0"/>
      <w:marTop w:val="0"/>
      <w:marBottom w:val="0"/>
      <w:divBdr>
        <w:top w:val="none" w:sz="0" w:space="0" w:color="auto"/>
        <w:left w:val="none" w:sz="0" w:space="0" w:color="auto"/>
        <w:bottom w:val="none" w:sz="0" w:space="0" w:color="auto"/>
        <w:right w:val="none" w:sz="0" w:space="0" w:color="auto"/>
      </w:divBdr>
      <w:divsChild>
        <w:div w:id="9383547">
          <w:marLeft w:val="75"/>
          <w:marRight w:val="75"/>
          <w:marTop w:val="0"/>
          <w:marBottom w:val="0"/>
          <w:divBdr>
            <w:top w:val="none" w:sz="0" w:space="0" w:color="auto"/>
            <w:left w:val="none" w:sz="0" w:space="0" w:color="auto"/>
            <w:bottom w:val="none" w:sz="0" w:space="0" w:color="auto"/>
            <w:right w:val="none" w:sz="0" w:space="0" w:color="auto"/>
          </w:divBdr>
          <w:divsChild>
            <w:div w:id="1249577554">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 w:id="435372271">
      <w:bodyDiv w:val="1"/>
      <w:marLeft w:val="0"/>
      <w:marRight w:val="0"/>
      <w:marTop w:val="0"/>
      <w:marBottom w:val="0"/>
      <w:divBdr>
        <w:top w:val="none" w:sz="0" w:space="0" w:color="auto"/>
        <w:left w:val="none" w:sz="0" w:space="0" w:color="auto"/>
        <w:bottom w:val="none" w:sz="0" w:space="0" w:color="auto"/>
        <w:right w:val="none" w:sz="0" w:space="0" w:color="auto"/>
      </w:divBdr>
      <w:divsChild>
        <w:div w:id="464156783">
          <w:marLeft w:val="75"/>
          <w:marRight w:val="75"/>
          <w:marTop w:val="0"/>
          <w:marBottom w:val="0"/>
          <w:divBdr>
            <w:top w:val="none" w:sz="0" w:space="0" w:color="auto"/>
            <w:left w:val="none" w:sz="0" w:space="0" w:color="auto"/>
            <w:bottom w:val="none" w:sz="0" w:space="0" w:color="auto"/>
            <w:right w:val="none" w:sz="0" w:space="0" w:color="auto"/>
          </w:divBdr>
          <w:divsChild>
            <w:div w:id="943532913">
              <w:marLeft w:val="0"/>
              <w:marRight w:val="0"/>
              <w:marTop w:val="0"/>
              <w:marBottom w:val="0"/>
              <w:divBdr>
                <w:top w:val="none" w:sz="0" w:space="0" w:color="auto"/>
                <w:left w:val="none" w:sz="0" w:space="0" w:color="auto"/>
                <w:bottom w:val="none" w:sz="0" w:space="0" w:color="auto"/>
                <w:right w:val="none" w:sz="0" w:space="0" w:color="auto"/>
              </w:divBdr>
              <w:divsChild>
                <w:div w:id="1634098004">
                  <w:marLeft w:val="0"/>
                  <w:marRight w:val="0"/>
                  <w:marTop w:val="0"/>
                  <w:marBottom w:val="0"/>
                  <w:divBdr>
                    <w:top w:val="none" w:sz="0" w:space="0" w:color="auto"/>
                    <w:left w:val="none" w:sz="0" w:space="0" w:color="auto"/>
                    <w:bottom w:val="none" w:sz="0" w:space="0" w:color="auto"/>
                    <w:right w:val="none" w:sz="0" w:space="0" w:color="auto"/>
                  </w:divBdr>
                  <w:divsChild>
                    <w:div w:id="1116800710">
                      <w:marLeft w:val="0"/>
                      <w:marRight w:val="0"/>
                      <w:marTop w:val="0"/>
                      <w:marBottom w:val="210"/>
                      <w:divBdr>
                        <w:top w:val="none" w:sz="0" w:space="0" w:color="auto"/>
                        <w:left w:val="none" w:sz="0" w:space="0" w:color="auto"/>
                        <w:bottom w:val="none" w:sz="0" w:space="0" w:color="auto"/>
                        <w:right w:val="none" w:sz="0" w:space="0" w:color="auto"/>
                      </w:divBdr>
                      <w:divsChild>
                        <w:div w:id="1733967001">
                          <w:marLeft w:val="0"/>
                          <w:marRight w:val="0"/>
                          <w:marTop w:val="210"/>
                          <w:marBottom w:val="0"/>
                          <w:divBdr>
                            <w:top w:val="none" w:sz="0" w:space="0" w:color="auto"/>
                            <w:left w:val="none" w:sz="0" w:space="0" w:color="auto"/>
                            <w:bottom w:val="none" w:sz="0" w:space="0" w:color="auto"/>
                            <w:right w:val="none" w:sz="0" w:space="0" w:color="auto"/>
                          </w:divBdr>
                          <w:divsChild>
                            <w:div w:id="1159613171">
                              <w:marLeft w:val="0"/>
                              <w:marRight w:val="0"/>
                              <w:marTop w:val="0"/>
                              <w:marBottom w:val="0"/>
                              <w:divBdr>
                                <w:top w:val="none" w:sz="0" w:space="0" w:color="auto"/>
                                <w:left w:val="none" w:sz="0" w:space="0" w:color="auto"/>
                                <w:bottom w:val="none" w:sz="0" w:space="0" w:color="auto"/>
                                <w:right w:val="none" w:sz="0" w:space="0" w:color="auto"/>
                              </w:divBdr>
                              <w:divsChild>
                                <w:div w:id="1355576653">
                                  <w:marLeft w:val="0"/>
                                  <w:marRight w:val="0"/>
                                  <w:marTop w:val="210"/>
                                  <w:marBottom w:val="0"/>
                                  <w:divBdr>
                                    <w:top w:val="none" w:sz="0" w:space="0" w:color="auto"/>
                                    <w:left w:val="none" w:sz="0" w:space="0" w:color="auto"/>
                                    <w:bottom w:val="none" w:sz="0" w:space="0" w:color="auto"/>
                                    <w:right w:val="none" w:sz="0" w:space="0" w:color="auto"/>
                                  </w:divBdr>
                                  <w:divsChild>
                                    <w:div w:id="662777562">
                                      <w:marLeft w:val="1050"/>
                                      <w:marRight w:val="0"/>
                                      <w:marTop w:val="0"/>
                                      <w:marBottom w:val="0"/>
                                      <w:divBdr>
                                        <w:top w:val="none" w:sz="0" w:space="0" w:color="auto"/>
                                        <w:left w:val="none" w:sz="0" w:space="0" w:color="auto"/>
                                        <w:bottom w:val="none" w:sz="0" w:space="0" w:color="auto"/>
                                        <w:right w:val="none" w:sz="0" w:space="0" w:color="auto"/>
                                      </w:divBdr>
                                    </w:div>
                                    <w:div w:id="1793860242">
                                      <w:marLeft w:val="1050"/>
                                      <w:marRight w:val="0"/>
                                      <w:marTop w:val="0"/>
                                      <w:marBottom w:val="0"/>
                                      <w:divBdr>
                                        <w:top w:val="none" w:sz="0" w:space="0" w:color="auto"/>
                                        <w:left w:val="none" w:sz="0" w:space="0" w:color="auto"/>
                                        <w:bottom w:val="none" w:sz="0" w:space="0" w:color="auto"/>
                                        <w:right w:val="none" w:sz="0" w:space="0" w:color="auto"/>
                                      </w:divBdr>
                                    </w:div>
                                    <w:div w:id="2048985199">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130193">
      <w:bodyDiv w:val="1"/>
      <w:marLeft w:val="0"/>
      <w:marRight w:val="0"/>
      <w:marTop w:val="0"/>
      <w:marBottom w:val="0"/>
      <w:divBdr>
        <w:top w:val="none" w:sz="0" w:space="0" w:color="auto"/>
        <w:left w:val="none" w:sz="0" w:space="0" w:color="auto"/>
        <w:bottom w:val="none" w:sz="0" w:space="0" w:color="auto"/>
        <w:right w:val="none" w:sz="0" w:space="0" w:color="auto"/>
      </w:divBdr>
      <w:divsChild>
        <w:div w:id="1580481240">
          <w:marLeft w:val="75"/>
          <w:marRight w:val="75"/>
          <w:marTop w:val="0"/>
          <w:marBottom w:val="0"/>
          <w:divBdr>
            <w:top w:val="none" w:sz="0" w:space="0" w:color="auto"/>
            <w:left w:val="none" w:sz="0" w:space="0" w:color="auto"/>
            <w:bottom w:val="none" w:sz="0" w:space="0" w:color="auto"/>
            <w:right w:val="none" w:sz="0" w:space="0" w:color="auto"/>
          </w:divBdr>
          <w:divsChild>
            <w:div w:id="1029144574">
              <w:marLeft w:val="0"/>
              <w:marRight w:val="0"/>
              <w:marTop w:val="0"/>
              <w:marBottom w:val="0"/>
              <w:divBdr>
                <w:top w:val="none" w:sz="0" w:space="0" w:color="auto"/>
                <w:left w:val="none" w:sz="0" w:space="0" w:color="auto"/>
                <w:bottom w:val="none" w:sz="0" w:space="0" w:color="auto"/>
                <w:right w:val="none" w:sz="0" w:space="0" w:color="auto"/>
              </w:divBdr>
              <w:divsChild>
                <w:div w:id="1363432022">
                  <w:marLeft w:val="0"/>
                  <w:marRight w:val="0"/>
                  <w:marTop w:val="0"/>
                  <w:marBottom w:val="0"/>
                  <w:divBdr>
                    <w:top w:val="none" w:sz="0" w:space="0" w:color="auto"/>
                    <w:left w:val="none" w:sz="0" w:space="0" w:color="auto"/>
                    <w:bottom w:val="none" w:sz="0" w:space="0" w:color="auto"/>
                    <w:right w:val="none" w:sz="0" w:space="0" w:color="auto"/>
                  </w:divBdr>
                  <w:divsChild>
                    <w:div w:id="709497996">
                      <w:marLeft w:val="0"/>
                      <w:marRight w:val="0"/>
                      <w:marTop w:val="0"/>
                      <w:marBottom w:val="210"/>
                      <w:divBdr>
                        <w:top w:val="none" w:sz="0" w:space="0" w:color="auto"/>
                        <w:left w:val="none" w:sz="0" w:space="0" w:color="auto"/>
                        <w:bottom w:val="none" w:sz="0" w:space="0" w:color="auto"/>
                        <w:right w:val="none" w:sz="0" w:space="0" w:color="auto"/>
                      </w:divBdr>
                      <w:divsChild>
                        <w:div w:id="585263076">
                          <w:marLeft w:val="0"/>
                          <w:marRight w:val="0"/>
                          <w:marTop w:val="210"/>
                          <w:marBottom w:val="0"/>
                          <w:divBdr>
                            <w:top w:val="none" w:sz="0" w:space="0" w:color="auto"/>
                            <w:left w:val="none" w:sz="0" w:space="0" w:color="auto"/>
                            <w:bottom w:val="none" w:sz="0" w:space="0" w:color="auto"/>
                            <w:right w:val="none" w:sz="0" w:space="0" w:color="auto"/>
                          </w:divBdr>
                          <w:divsChild>
                            <w:div w:id="1831632018">
                              <w:marLeft w:val="0"/>
                              <w:marRight w:val="0"/>
                              <w:marTop w:val="0"/>
                              <w:marBottom w:val="0"/>
                              <w:divBdr>
                                <w:top w:val="none" w:sz="0" w:space="0" w:color="auto"/>
                                <w:left w:val="none" w:sz="0" w:space="0" w:color="auto"/>
                                <w:bottom w:val="none" w:sz="0" w:space="0" w:color="auto"/>
                                <w:right w:val="none" w:sz="0" w:space="0" w:color="auto"/>
                              </w:divBdr>
                              <w:divsChild>
                                <w:div w:id="345520485">
                                  <w:marLeft w:val="0"/>
                                  <w:marRight w:val="0"/>
                                  <w:marTop w:val="210"/>
                                  <w:marBottom w:val="0"/>
                                  <w:divBdr>
                                    <w:top w:val="none" w:sz="0" w:space="0" w:color="auto"/>
                                    <w:left w:val="none" w:sz="0" w:space="0" w:color="auto"/>
                                    <w:bottom w:val="none" w:sz="0" w:space="0" w:color="auto"/>
                                    <w:right w:val="none" w:sz="0" w:space="0" w:color="auto"/>
                                  </w:divBdr>
                                  <w:divsChild>
                                    <w:div w:id="1079523289">
                                      <w:marLeft w:val="1050"/>
                                      <w:marRight w:val="0"/>
                                      <w:marTop w:val="0"/>
                                      <w:marBottom w:val="0"/>
                                      <w:divBdr>
                                        <w:top w:val="none" w:sz="0" w:space="0" w:color="auto"/>
                                        <w:left w:val="none" w:sz="0" w:space="0" w:color="auto"/>
                                        <w:bottom w:val="none" w:sz="0" w:space="0" w:color="auto"/>
                                        <w:right w:val="none" w:sz="0" w:space="0" w:color="auto"/>
                                      </w:divBdr>
                                    </w:div>
                                    <w:div w:id="1290669198">
                                      <w:marLeft w:val="1050"/>
                                      <w:marRight w:val="0"/>
                                      <w:marTop w:val="0"/>
                                      <w:marBottom w:val="0"/>
                                      <w:divBdr>
                                        <w:top w:val="none" w:sz="0" w:space="0" w:color="auto"/>
                                        <w:left w:val="none" w:sz="0" w:space="0" w:color="auto"/>
                                        <w:bottom w:val="none" w:sz="0" w:space="0" w:color="auto"/>
                                        <w:right w:val="none" w:sz="0" w:space="0" w:color="auto"/>
                                      </w:divBdr>
                                    </w:div>
                                    <w:div w:id="1979606739">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2313813">
      <w:bodyDiv w:val="1"/>
      <w:marLeft w:val="0"/>
      <w:marRight w:val="0"/>
      <w:marTop w:val="0"/>
      <w:marBottom w:val="0"/>
      <w:divBdr>
        <w:top w:val="none" w:sz="0" w:space="0" w:color="auto"/>
        <w:left w:val="none" w:sz="0" w:space="0" w:color="auto"/>
        <w:bottom w:val="none" w:sz="0" w:space="0" w:color="auto"/>
        <w:right w:val="none" w:sz="0" w:space="0" w:color="auto"/>
      </w:divBdr>
    </w:div>
    <w:div w:id="709958574">
      <w:bodyDiv w:val="1"/>
      <w:marLeft w:val="0"/>
      <w:marRight w:val="0"/>
      <w:marTop w:val="0"/>
      <w:marBottom w:val="0"/>
      <w:divBdr>
        <w:top w:val="none" w:sz="0" w:space="0" w:color="auto"/>
        <w:left w:val="none" w:sz="0" w:space="0" w:color="auto"/>
        <w:bottom w:val="none" w:sz="0" w:space="0" w:color="auto"/>
        <w:right w:val="none" w:sz="0" w:space="0" w:color="auto"/>
      </w:divBdr>
    </w:div>
    <w:div w:id="854072732">
      <w:bodyDiv w:val="1"/>
      <w:marLeft w:val="0"/>
      <w:marRight w:val="0"/>
      <w:marTop w:val="0"/>
      <w:marBottom w:val="0"/>
      <w:divBdr>
        <w:top w:val="none" w:sz="0" w:space="0" w:color="auto"/>
        <w:left w:val="none" w:sz="0" w:space="0" w:color="auto"/>
        <w:bottom w:val="none" w:sz="0" w:space="0" w:color="auto"/>
        <w:right w:val="none" w:sz="0" w:space="0" w:color="auto"/>
      </w:divBdr>
    </w:div>
    <w:div w:id="1223253370">
      <w:bodyDiv w:val="1"/>
      <w:marLeft w:val="0"/>
      <w:marRight w:val="0"/>
      <w:marTop w:val="0"/>
      <w:marBottom w:val="0"/>
      <w:divBdr>
        <w:top w:val="none" w:sz="0" w:space="0" w:color="auto"/>
        <w:left w:val="none" w:sz="0" w:space="0" w:color="auto"/>
        <w:bottom w:val="none" w:sz="0" w:space="0" w:color="auto"/>
        <w:right w:val="none" w:sz="0" w:space="0" w:color="auto"/>
      </w:divBdr>
    </w:div>
    <w:div w:id="1329556341">
      <w:bodyDiv w:val="1"/>
      <w:marLeft w:val="0"/>
      <w:marRight w:val="0"/>
      <w:marTop w:val="0"/>
      <w:marBottom w:val="0"/>
      <w:divBdr>
        <w:top w:val="none" w:sz="0" w:space="0" w:color="auto"/>
        <w:left w:val="none" w:sz="0" w:space="0" w:color="auto"/>
        <w:bottom w:val="none" w:sz="0" w:space="0" w:color="auto"/>
        <w:right w:val="none" w:sz="0" w:space="0" w:color="auto"/>
      </w:divBdr>
    </w:div>
    <w:div w:id="1495419074">
      <w:bodyDiv w:val="1"/>
      <w:marLeft w:val="0"/>
      <w:marRight w:val="0"/>
      <w:marTop w:val="0"/>
      <w:marBottom w:val="0"/>
      <w:divBdr>
        <w:top w:val="none" w:sz="0" w:space="0" w:color="auto"/>
        <w:left w:val="none" w:sz="0" w:space="0" w:color="auto"/>
        <w:bottom w:val="none" w:sz="0" w:space="0" w:color="auto"/>
        <w:right w:val="none" w:sz="0" w:space="0" w:color="auto"/>
      </w:divBdr>
    </w:div>
    <w:div w:id="1673338786">
      <w:bodyDiv w:val="1"/>
      <w:marLeft w:val="0"/>
      <w:marRight w:val="0"/>
      <w:marTop w:val="0"/>
      <w:marBottom w:val="0"/>
      <w:divBdr>
        <w:top w:val="none" w:sz="0" w:space="0" w:color="auto"/>
        <w:left w:val="none" w:sz="0" w:space="0" w:color="auto"/>
        <w:bottom w:val="none" w:sz="0" w:space="0" w:color="auto"/>
        <w:right w:val="none" w:sz="0" w:space="0" w:color="auto"/>
      </w:divBdr>
      <w:divsChild>
        <w:div w:id="1848130403">
          <w:marLeft w:val="75"/>
          <w:marRight w:val="75"/>
          <w:marTop w:val="0"/>
          <w:marBottom w:val="0"/>
          <w:divBdr>
            <w:top w:val="none" w:sz="0" w:space="0" w:color="auto"/>
            <w:left w:val="none" w:sz="0" w:space="0" w:color="auto"/>
            <w:bottom w:val="none" w:sz="0" w:space="0" w:color="auto"/>
            <w:right w:val="none" w:sz="0" w:space="0" w:color="auto"/>
          </w:divBdr>
          <w:divsChild>
            <w:div w:id="1307853104">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economie.gouv.fr/files/files/directions_services/daj/marches_publics/oeap/concertation/autres_groupes_travail/%20guide-prix-dans-mp.pdf" TargetMode="External"/><Relationship Id="rId1" Type="http://schemas.openxmlformats.org/officeDocument/2006/relationships/hyperlink" Target="https://www.economie.gouv.fr/approvisionnement-matieres-premieres-mediation-batiment-travaux-public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AB0D3-3A3C-4FDF-9ED2-8CAECF806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1842</Words>
  <Characters>10137</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TITRE DE LA FICHE</vt:lpstr>
    </vt:vector>
  </TitlesOfParts>
  <Company>DAJ</Company>
  <LinksUpToDate>false</LinksUpToDate>
  <CharactersWithSpaces>11956</CharactersWithSpaces>
  <SharedDoc>false</SharedDoc>
  <HLinks>
    <vt:vector size="612" baseType="variant">
      <vt:variant>
        <vt:i4>3538970</vt:i4>
      </vt:variant>
      <vt:variant>
        <vt:i4>63</vt:i4>
      </vt:variant>
      <vt:variant>
        <vt:i4>0</vt:i4>
      </vt:variant>
      <vt:variant>
        <vt:i4>5</vt:i4>
      </vt:variant>
      <vt:variant>
        <vt:lpwstr>https://www.legifrance.gouv.fr/affichTexteArticle.do;jsessionid=EEFB662356F8361058F3E04C4975B7F0.tpdila21v_3?idArticle=LEGIARTI000030922157&amp;cidTexte=LEGITEXT000030921938&amp;dateTexte=20170920&amp;categorieLien=id&amp;oldAction=&amp;nbResultRech=</vt:lpwstr>
      </vt:variant>
      <vt:variant>
        <vt:lpwstr/>
      </vt:variant>
      <vt:variant>
        <vt:i4>3538970</vt:i4>
      </vt:variant>
      <vt:variant>
        <vt:i4>60</vt:i4>
      </vt:variant>
      <vt:variant>
        <vt:i4>0</vt:i4>
      </vt:variant>
      <vt:variant>
        <vt:i4>5</vt:i4>
      </vt:variant>
      <vt:variant>
        <vt:lpwstr>https://www.legifrance.gouv.fr/affichTexteArticle.do;jsessionid=EEFB662356F8361058F3E04C4975B7F0.tpdila21v_3?idArticle=LEGIARTI000030922157&amp;cidTexte=LEGITEXT000030921938&amp;dateTexte=20170920&amp;categorieLien=id&amp;oldAction=&amp;nbResultRech=</vt:lpwstr>
      </vt:variant>
      <vt:variant>
        <vt:lpwstr/>
      </vt:variant>
      <vt:variant>
        <vt:i4>1638449</vt:i4>
      </vt:variant>
      <vt:variant>
        <vt:i4>57</vt:i4>
      </vt:variant>
      <vt:variant>
        <vt:i4>0</vt:i4>
      </vt:variant>
      <vt:variant>
        <vt:i4>5</vt:i4>
      </vt:variant>
      <vt:variant>
        <vt:lpwstr>https://www.legifrance.gouv.fr/affichTexteArticle.do;jsessionid=EEFB662356F8361058F3E04C4975B7F0.tpdila21v_3?idArticle=LEGIARTI000030922151&amp;cidTexte=LEGITEXT000030921938&amp;dateTexte=20170920&amp;categorieLien=id&amp;oldAction=</vt:lpwstr>
      </vt:variant>
      <vt:variant>
        <vt:lpwstr/>
      </vt:variant>
      <vt:variant>
        <vt:i4>6422605</vt:i4>
      </vt:variant>
      <vt:variant>
        <vt:i4>54</vt:i4>
      </vt:variant>
      <vt:variant>
        <vt:i4>0</vt:i4>
      </vt:variant>
      <vt:variant>
        <vt:i4>5</vt:i4>
      </vt:variant>
      <vt:variant>
        <vt:lpwstr>https://www.legifrance.gouv.fr/affichTexteArticle.do;jsessionid=6272B01720CE491978F10AE4A577D140.tpdila21v_3?idArticle=LEGIARTI000030922157&amp;cidTexte=LEGITEXT000030921938&amp;dateTexte=20170920&amp;categorieLien=id&amp;oldAction=&amp;nbResultRech=</vt:lpwstr>
      </vt:variant>
      <vt:variant>
        <vt:lpwstr/>
      </vt:variant>
      <vt:variant>
        <vt:i4>1310758</vt:i4>
      </vt:variant>
      <vt:variant>
        <vt:i4>51</vt:i4>
      </vt:variant>
      <vt:variant>
        <vt:i4>0</vt:i4>
      </vt:variant>
      <vt:variant>
        <vt:i4>5</vt:i4>
      </vt:variant>
      <vt:variant>
        <vt:lpwstr>https://www.legifrance.gouv.fr/affichTexteArticle.do;jsessionid=2423355DDADB88974A37DF674D2CF1D8.tpdila16v_2?idArticle=LEGIARTI000031943131&amp;cidTexte=LEGITEXT000031942966&amp;dateTexte=20170920</vt:lpwstr>
      </vt:variant>
      <vt:variant>
        <vt:lpwstr/>
      </vt:variant>
      <vt:variant>
        <vt:i4>6422605</vt:i4>
      </vt:variant>
      <vt:variant>
        <vt:i4>48</vt:i4>
      </vt:variant>
      <vt:variant>
        <vt:i4>0</vt:i4>
      </vt:variant>
      <vt:variant>
        <vt:i4>5</vt:i4>
      </vt:variant>
      <vt:variant>
        <vt:lpwstr>https://www.legifrance.gouv.fr/affichTexteArticle.do;jsessionid=6272B01720CE491978F10AE4A577D140.tpdila21v_3?idArticle=LEGIARTI000030922157&amp;cidTexte=LEGITEXT000030921938&amp;dateTexte=20170920&amp;categorieLien=id&amp;oldAction=&amp;nbResultRech=</vt:lpwstr>
      </vt:variant>
      <vt:variant>
        <vt:lpwstr/>
      </vt:variant>
      <vt:variant>
        <vt:i4>4653183</vt:i4>
      </vt:variant>
      <vt:variant>
        <vt:i4>45</vt:i4>
      </vt:variant>
      <vt:variant>
        <vt:i4>0</vt:i4>
      </vt:variant>
      <vt:variant>
        <vt:i4>5</vt:i4>
      </vt:variant>
      <vt:variant>
        <vt:lpwstr>https://www.legifrance.gouv.fr/affichTexteArticle.do;jsessionid=6272B01720CE491978F10AE4A577D140.tpdila21v_3?idArticle=LEGIARTI000033611577&amp;cidTexte=LEGITEXT000030921938&amp;dateTexte=20170920</vt:lpwstr>
      </vt:variant>
      <vt:variant>
        <vt:lpwstr/>
      </vt:variant>
      <vt:variant>
        <vt:i4>4718719</vt:i4>
      </vt:variant>
      <vt:variant>
        <vt:i4>42</vt:i4>
      </vt:variant>
      <vt:variant>
        <vt:i4>0</vt:i4>
      </vt:variant>
      <vt:variant>
        <vt:i4>5</vt:i4>
      </vt:variant>
      <vt:variant>
        <vt:lpwstr>https://www.legifrance.gouv.fr/affichTexteArticle.do;jsessionid=6272B01720CE491978F10AE4A577D140.tpdila21v_3?idArticle=LEGIARTI000030922143&amp;cidTexte=LEGITEXT000030921938&amp;dateTexte=20170920</vt:lpwstr>
      </vt:variant>
      <vt:variant>
        <vt:lpwstr/>
      </vt:variant>
      <vt:variant>
        <vt:i4>6619211</vt:i4>
      </vt:variant>
      <vt:variant>
        <vt:i4>39</vt:i4>
      </vt:variant>
      <vt:variant>
        <vt:i4>0</vt:i4>
      </vt:variant>
      <vt:variant>
        <vt:i4>5</vt:i4>
      </vt:variant>
      <vt:variant>
        <vt:lpwstr>https://www.legifrance.gouv.fr/affichTexteArticle.do;jsessionid=6272B01720CE491978F10AE4A577D140.tpdila21v_3?idArticle=LEGIARTI000030922121&amp;cidTexte=LEGITEXT000030921938&amp;dateTexte=20170920&amp;categorieLien=id&amp;oldAction=&amp;nbResultRech=</vt:lpwstr>
      </vt:variant>
      <vt:variant>
        <vt:lpwstr/>
      </vt:variant>
      <vt:variant>
        <vt:i4>4522107</vt:i4>
      </vt:variant>
      <vt:variant>
        <vt:i4>36</vt:i4>
      </vt:variant>
      <vt:variant>
        <vt:i4>0</vt:i4>
      </vt:variant>
      <vt:variant>
        <vt:i4>5</vt:i4>
      </vt:variant>
      <vt:variant>
        <vt:lpwstr>https://www.legifrance.gouv.fr/affichTexteArticle.do;jsessionid=6272B01720CE491978F10AE4A577D140.tpdila21v_3?idArticle=LEGIARTI000033611650&amp;cidTexte=LEGITEXT000030921938&amp;dateTexte=20170920</vt:lpwstr>
      </vt:variant>
      <vt:variant>
        <vt:lpwstr/>
      </vt:variant>
      <vt:variant>
        <vt:i4>5046372</vt:i4>
      </vt:variant>
      <vt:variant>
        <vt:i4>33</vt:i4>
      </vt:variant>
      <vt:variant>
        <vt:i4>0</vt:i4>
      </vt:variant>
      <vt:variant>
        <vt:i4>5</vt:i4>
      </vt:variant>
      <vt:variant>
        <vt:lpwstr>https://www.legifrance.gouv.fr/affichTexteArticle.do;jsessionid=6272B01720CE491978F10AE4A577D140.tpdila21v_3?idArticle=LEGIARTI000030922153&amp;cidTexte=LEGITEXT000030921938&amp;dateTexte=20170920&amp;categorieLien=id&amp;oldAction=</vt:lpwstr>
      </vt:variant>
      <vt:variant>
        <vt:lpwstr/>
      </vt:variant>
      <vt:variant>
        <vt:i4>1179686</vt:i4>
      </vt:variant>
      <vt:variant>
        <vt:i4>30</vt:i4>
      </vt:variant>
      <vt:variant>
        <vt:i4>0</vt:i4>
      </vt:variant>
      <vt:variant>
        <vt:i4>5</vt:i4>
      </vt:variant>
      <vt:variant>
        <vt:lpwstr>https://www.legifrance.gouv.fr/affichTexteArticle.do;jsessionid=35B7D9DB6F0C2F116504E0C64A864E4B.tpdila22v_3?idArticle=LEGIARTI000030922167&amp;cidTexte=LEGITEXT000030921938&amp;dateTexte=20170404</vt:lpwstr>
      </vt:variant>
      <vt:variant>
        <vt:lpwstr/>
      </vt:variant>
      <vt:variant>
        <vt:i4>5046337</vt:i4>
      </vt:variant>
      <vt:variant>
        <vt:i4>27</vt:i4>
      </vt:variant>
      <vt:variant>
        <vt:i4>0</vt:i4>
      </vt:variant>
      <vt:variant>
        <vt:i4>5</vt:i4>
      </vt:variant>
      <vt:variant>
        <vt:lpwstr>https://www.legifrance.gouv.fr/affichCodeArticle.do?idArticle=LEGIARTI000017844513&amp;cidTexte=LEGITEXT000006073189&amp;dateTexte=20170920&amp;oldAction=rechCodeArticle&amp;fastReqId=1573695091&amp;nbResultRech=1</vt:lpwstr>
      </vt:variant>
      <vt:variant>
        <vt:lpwstr/>
      </vt:variant>
      <vt:variant>
        <vt:i4>4718667</vt:i4>
      </vt:variant>
      <vt:variant>
        <vt:i4>24</vt:i4>
      </vt:variant>
      <vt:variant>
        <vt:i4>0</vt:i4>
      </vt:variant>
      <vt:variant>
        <vt:i4>5</vt:i4>
      </vt:variant>
      <vt:variant>
        <vt:lpwstr>https://www.legifrance.gouv.fr/affichCodeArticle.do?idArticle=LEGIARTI000034116156&amp;cidTexte=LEGITEXT000006070633&amp;dateTexte=20170920&amp;oldAction=rechCodeArticle&amp;fastReqId=1932633940&amp;nbResultRech=1</vt:lpwstr>
      </vt:variant>
      <vt:variant>
        <vt:lpwstr/>
      </vt:variant>
      <vt:variant>
        <vt:i4>4784249</vt:i4>
      </vt:variant>
      <vt:variant>
        <vt:i4>21</vt:i4>
      </vt:variant>
      <vt:variant>
        <vt:i4>0</vt:i4>
      </vt:variant>
      <vt:variant>
        <vt:i4>5</vt:i4>
      </vt:variant>
      <vt:variant>
        <vt:lpwstr>https://www.legifrance.gouv.fr/affichTexteArticle.do;jsessionid=6272B01720CE491978F10AE4A577D140.tpdila21v_3?idArticle=LEGIARTI000030922155&amp;cidTexte=LEGITEXT000030921938&amp;dateTexte=20170920</vt:lpwstr>
      </vt:variant>
      <vt:variant>
        <vt:lpwstr/>
      </vt:variant>
      <vt:variant>
        <vt:i4>5111934</vt:i4>
      </vt:variant>
      <vt:variant>
        <vt:i4>18</vt:i4>
      </vt:variant>
      <vt:variant>
        <vt:i4>0</vt:i4>
      </vt:variant>
      <vt:variant>
        <vt:i4>5</vt:i4>
      </vt:variant>
      <vt:variant>
        <vt:lpwstr>https://www.legifrance.gouv.fr/affichTexteArticle.do;jsessionid=6272B01720CE491978F10AE4A577D140.tpdila21v_3?idArticle=LEGIARTI000006527587&amp;cidTexte=LEGITEXT000006071194&amp;dateTexte=20170920</vt:lpwstr>
      </vt:variant>
      <vt:variant>
        <vt:lpwstr/>
      </vt:variant>
      <vt:variant>
        <vt:i4>3866633</vt:i4>
      </vt:variant>
      <vt:variant>
        <vt:i4>15</vt:i4>
      </vt:variant>
      <vt:variant>
        <vt:i4>0</vt:i4>
      </vt:variant>
      <vt:variant>
        <vt:i4>5</vt:i4>
      </vt:variant>
      <vt:variant>
        <vt:lpwstr>http://www.legifrance.gouv.fr/affichTexteArticle.do;jsessionid=D0793096ADA83A642CFE994D680640B9.tpdjo11v_3?idArticle=JORFARTI000022894087&amp;cidTexte=JORFTEXT000022894070&amp;dateTexte=29990101&amp;categorieLien=id</vt:lpwstr>
      </vt:variant>
      <vt:variant>
        <vt:lpwstr/>
      </vt:variant>
      <vt:variant>
        <vt:i4>4456521</vt:i4>
      </vt:variant>
      <vt:variant>
        <vt:i4>12</vt:i4>
      </vt:variant>
      <vt:variant>
        <vt:i4>0</vt:i4>
      </vt:variant>
      <vt:variant>
        <vt:i4>5</vt:i4>
      </vt:variant>
      <vt:variant>
        <vt:lpwstr>http://www.legifrance.gouv.fr/affichCodeArticle.do?idArticle=LEGIARTI000022022332&amp;cidTexte=LEGITEXT000006072665&amp;dateTexte=20120322&amp;oldAction=rechCodeArticle</vt:lpwstr>
      </vt:variant>
      <vt:variant>
        <vt:lpwstr/>
      </vt:variant>
      <vt:variant>
        <vt:i4>4063271</vt:i4>
      </vt:variant>
      <vt:variant>
        <vt:i4>9</vt:i4>
      </vt:variant>
      <vt:variant>
        <vt:i4>0</vt:i4>
      </vt:variant>
      <vt:variant>
        <vt:i4>5</vt:i4>
      </vt:variant>
      <vt:variant>
        <vt:lpwstr>https://www.legifrance.gouv.fr/affichTexte.do?cidTexte=JORFTEXT000031939947&amp;fastPos=2&amp;fastReqId=473145806&amp;categorieLien=cid&amp;oldAction=rechTexte</vt:lpwstr>
      </vt:variant>
      <vt:variant>
        <vt:lpwstr/>
      </vt:variant>
      <vt:variant>
        <vt:i4>3866669</vt:i4>
      </vt:variant>
      <vt:variant>
        <vt:i4>6</vt:i4>
      </vt:variant>
      <vt:variant>
        <vt:i4>0</vt:i4>
      </vt:variant>
      <vt:variant>
        <vt:i4>5</vt:i4>
      </vt:variant>
      <vt:variant>
        <vt:lpwstr>https://www.legifrance.gouv.fr/affichTexte.do?cidTexte=JORFTEXT000030920376&amp;fastPos=1&amp;fastReqId=756484294&amp;categorieLien=cid&amp;oldAction=rechTexte</vt:lpwstr>
      </vt:variant>
      <vt:variant>
        <vt:lpwstr/>
      </vt:variant>
      <vt:variant>
        <vt:i4>3866664</vt:i4>
      </vt:variant>
      <vt:variant>
        <vt:i4>3</vt:i4>
      </vt:variant>
      <vt:variant>
        <vt:i4>0</vt:i4>
      </vt:variant>
      <vt:variant>
        <vt:i4>5</vt:i4>
      </vt:variant>
      <vt:variant>
        <vt:lpwstr>http://eur-lex.europa.eu/legal-content/FR/TXT/PDF/?uri=CELEX:32014L0025&amp;from=FR</vt:lpwstr>
      </vt:variant>
      <vt:variant>
        <vt:lpwstr/>
      </vt:variant>
      <vt:variant>
        <vt:i4>3866665</vt:i4>
      </vt:variant>
      <vt:variant>
        <vt:i4>0</vt:i4>
      </vt:variant>
      <vt:variant>
        <vt:i4>0</vt:i4>
      </vt:variant>
      <vt:variant>
        <vt:i4>5</vt:i4>
      </vt:variant>
      <vt:variant>
        <vt:lpwstr>http://eur-lex.europa.eu/legal-content/FR/TXT/PDF/?uri=CELEX:32014L0024&amp;from=FR</vt:lpwstr>
      </vt:variant>
      <vt:variant>
        <vt:lpwstr/>
      </vt:variant>
      <vt:variant>
        <vt:i4>4522030</vt:i4>
      </vt:variant>
      <vt:variant>
        <vt:i4>237</vt:i4>
      </vt:variant>
      <vt:variant>
        <vt:i4>0</vt:i4>
      </vt:variant>
      <vt:variant>
        <vt:i4>5</vt:i4>
      </vt:variant>
      <vt:variant>
        <vt:lpwstr>https://www.legifrance.gouv.fr/affichTexteArticle.do;jsessionid=4AFD1BFC489AB8CAEAB142ECC729F298.tpdila21v_3?idArticle=LEGIARTI000030922157&amp;cidTexte=LEGITEXT000030921938&amp;dateTexte=20170920</vt:lpwstr>
      </vt:variant>
      <vt:variant>
        <vt:lpwstr/>
      </vt:variant>
      <vt:variant>
        <vt:i4>4522030</vt:i4>
      </vt:variant>
      <vt:variant>
        <vt:i4>234</vt:i4>
      </vt:variant>
      <vt:variant>
        <vt:i4>0</vt:i4>
      </vt:variant>
      <vt:variant>
        <vt:i4>5</vt:i4>
      </vt:variant>
      <vt:variant>
        <vt:lpwstr>https://www.legifrance.gouv.fr/affichTexteArticle.do;jsessionid=4AFD1BFC489AB8CAEAB142ECC729F298.tpdila21v_3?idArticle=LEGIARTI000030922157&amp;cidTexte=LEGITEXT000030921938&amp;dateTexte=20170920</vt:lpwstr>
      </vt:variant>
      <vt:variant>
        <vt:lpwstr/>
      </vt:variant>
      <vt:variant>
        <vt:i4>4522030</vt:i4>
      </vt:variant>
      <vt:variant>
        <vt:i4>231</vt:i4>
      </vt:variant>
      <vt:variant>
        <vt:i4>0</vt:i4>
      </vt:variant>
      <vt:variant>
        <vt:i4>5</vt:i4>
      </vt:variant>
      <vt:variant>
        <vt:lpwstr>https://www.legifrance.gouv.fr/affichTexteArticle.do;jsessionid=4AFD1BFC489AB8CAEAB142ECC729F298.tpdila21v_3?idArticle=LEGIARTI000030922157&amp;cidTexte=LEGITEXT000030921938&amp;dateTexte=20170920</vt:lpwstr>
      </vt:variant>
      <vt:variant>
        <vt:lpwstr/>
      </vt:variant>
      <vt:variant>
        <vt:i4>4522030</vt:i4>
      </vt:variant>
      <vt:variant>
        <vt:i4>228</vt:i4>
      </vt:variant>
      <vt:variant>
        <vt:i4>0</vt:i4>
      </vt:variant>
      <vt:variant>
        <vt:i4>5</vt:i4>
      </vt:variant>
      <vt:variant>
        <vt:lpwstr>https://www.legifrance.gouv.fr/affichTexteArticle.do;jsessionid=4AFD1BFC489AB8CAEAB142ECC729F298.tpdila21v_3?idArticle=LEGIARTI000030922157&amp;cidTexte=LEGITEXT000030921938&amp;dateTexte=20170920</vt:lpwstr>
      </vt:variant>
      <vt:variant>
        <vt:lpwstr/>
      </vt:variant>
      <vt:variant>
        <vt:i4>4522030</vt:i4>
      </vt:variant>
      <vt:variant>
        <vt:i4>225</vt:i4>
      </vt:variant>
      <vt:variant>
        <vt:i4>0</vt:i4>
      </vt:variant>
      <vt:variant>
        <vt:i4>5</vt:i4>
      </vt:variant>
      <vt:variant>
        <vt:lpwstr>https://www.legifrance.gouv.fr/affichTexteArticle.do;jsessionid=4AFD1BFC489AB8CAEAB142ECC729F298.tpdila21v_3?idArticle=LEGIARTI000030922157&amp;cidTexte=LEGITEXT000030921938&amp;dateTexte=20170920</vt:lpwstr>
      </vt:variant>
      <vt:variant>
        <vt:lpwstr/>
      </vt:variant>
      <vt:variant>
        <vt:i4>4522030</vt:i4>
      </vt:variant>
      <vt:variant>
        <vt:i4>222</vt:i4>
      </vt:variant>
      <vt:variant>
        <vt:i4>0</vt:i4>
      </vt:variant>
      <vt:variant>
        <vt:i4>5</vt:i4>
      </vt:variant>
      <vt:variant>
        <vt:lpwstr>https://www.legifrance.gouv.fr/affichTexteArticle.do;jsessionid=4AFD1BFC489AB8CAEAB142ECC729F298.tpdila21v_3?idArticle=LEGIARTI000030922157&amp;cidTexte=LEGITEXT000030921938&amp;dateTexte=20170920</vt:lpwstr>
      </vt:variant>
      <vt:variant>
        <vt:lpwstr/>
      </vt:variant>
      <vt:variant>
        <vt:i4>2621503</vt:i4>
      </vt:variant>
      <vt:variant>
        <vt:i4>219</vt:i4>
      </vt:variant>
      <vt:variant>
        <vt:i4>0</vt:i4>
      </vt:variant>
      <vt:variant>
        <vt:i4>5</vt:i4>
      </vt:variant>
      <vt:variant>
        <vt:lpwstr>https://www.legifrance.gouv.fr/affichJuriJudi.do?oldAction=rechJuriJudi&amp;idTexte=JURITEXT000026607502&amp;fastReqId=646587966&amp;fastPos=1</vt:lpwstr>
      </vt:variant>
      <vt:variant>
        <vt:lpwstr/>
      </vt:variant>
      <vt:variant>
        <vt:i4>1572888</vt:i4>
      </vt:variant>
      <vt:variant>
        <vt:i4>216</vt:i4>
      </vt:variant>
      <vt:variant>
        <vt:i4>0</vt:i4>
      </vt:variant>
      <vt:variant>
        <vt:i4>5</vt:i4>
      </vt:variant>
      <vt:variant>
        <vt:lpwstr>https://www.legifrance.gouv.fr/affichJuriAdmin.do?oldAction=rechJuriAdmin&amp;idTexte=CETATEXT000018259435&amp;fastReqId=719605297&amp;fastPos=1</vt:lpwstr>
      </vt:variant>
      <vt:variant>
        <vt:lpwstr/>
      </vt:variant>
      <vt:variant>
        <vt:i4>4456489</vt:i4>
      </vt:variant>
      <vt:variant>
        <vt:i4>213</vt:i4>
      </vt:variant>
      <vt:variant>
        <vt:i4>0</vt:i4>
      </vt:variant>
      <vt:variant>
        <vt:i4>5</vt:i4>
      </vt:variant>
      <vt:variant>
        <vt:lpwstr>https://www.legifrance.gouv.fr/affichTexteArticle.do;jsessionid=4AFD1BFC489AB8CAEAB142ECC729F298.tpdila21v_3?idArticle=LEGIARTI000030922243&amp;cidTexte=LEGITEXT000030921938&amp;dateTexte=20170920</vt:lpwstr>
      </vt:variant>
      <vt:variant>
        <vt:lpwstr/>
      </vt:variant>
      <vt:variant>
        <vt:i4>14549074</vt:i4>
      </vt:variant>
      <vt:variant>
        <vt:i4>210</vt:i4>
      </vt:variant>
      <vt:variant>
        <vt:i4>0</vt:i4>
      </vt:variant>
      <vt:variant>
        <vt:i4>5</vt:i4>
      </vt:variant>
      <vt:variant>
        <vt:lpwstr>travaux dont la liste est publiée au Journal officiel de la République française</vt:lpwstr>
      </vt:variant>
      <vt:variant>
        <vt:lpwstr/>
      </vt:variant>
      <vt:variant>
        <vt:i4>8257538</vt:i4>
      </vt:variant>
      <vt:variant>
        <vt:i4>207</vt:i4>
      </vt:variant>
      <vt:variant>
        <vt:i4>0</vt:i4>
      </vt:variant>
      <vt:variant>
        <vt:i4>5</vt:i4>
      </vt:variant>
      <vt:variant>
        <vt:lpwstr>https://www.legifrance.gouv.fr/affichJuriAdmin.do;jsessionid=5E8F771BBD9F45AA0A54843694FA19CB.tpdjo03v_1?oldAction=rechExpJuriAdmin&amp;idTexte=CETATEXT000007885301&amp;fastReqId=357869233&amp;fastPos=16</vt:lpwstr>
      </vt:variant>
      <vt:variant>
        <vt:lpwstr/>
      </vt:variant>
      <vt:variant>
        <vt:i4>6160475</vt:i4>
      </vt:variant>
      <vt:variant>
        <vt:i4>204</vt:i4>
      </vt:variant>
      <vt:variant>
        <vt:i4>0</vt:i4>
      </vt:variant>
      <vt:variant>
        <vt:i4>5</vt:i4>
      </vt:variant>
      <vt:variant>
        <vt:lpwstr>https://www.legifrance.gouv.fr/affichJuriAdmin.do?oldAction=rechJuriAdmin&amp;idTexte=CETATEXT000008146035&amp;fastReqId=1353321484&amp;fastPos=1</vt:lpwstr>
      </vt:variant>
      <vt:variant>
        <vt:lpwstr/>
      </vt:variant>
      <vt:variant>
        <vt:i4>720916</vt:i4>
      </vt:variant>
      <vt:variant>
        <vt:i4>201</vt:i4>
      </vt:variant>
      <vt:variant>
        <vt:i4>0</vt:i4>
      </vt:variant>
      <vt:variant>
        <vt:i4>5</vt:i4>
      </vt:variant>
      <vt:variant>
        <vt:lpwstr>http://www.conseil-etat.fr/content/download/47316/413137/version/5/file/F16 liens.pdf</vt:lpwstr>
      </vt:variant>
      <vt:variant>
        <vt:lpwstr/>
      </vt:variant>
      <vt:variant>
        <vt:i4>655380</vt:i4>
      </vt:variant>
      <vt:variant>
        <vt:i4>198</vt:i4>
      </vt:variant>
      <vt:variant>
        <vt:i4>0</vt:i4>
      </vt:variant>
      <vt:variant>
        <vt:i4>5</vt:i4>
      </vt:variant>
      <vt:variant>
        <vt:lpwstr>http://www.conseil-etat.fr/content/download/47316/413137/version/4/file/F16 liens.pdf</vt:lpwstr>
      </vt:variant>
      <vt:variant>
        <vt:lpwstr/>
      </vt:variant>
      <vt:variant>
        <vt:i4>3932222</vt:i4>
      </vt:variant>
      <vt:variant>
        <vt:i4>195</vt:i4>
      </vt:variant>
      <vt:variant>
        <vt:i4>0</vt:i4>
      </vt:variant>
      <vt:variant>
        <vt:i4>5</vt:i4>
      </vt:variant>
      <vt:variant>
        <vt:lpwstr>http://curia.europa.eu/juris/showPdf.jsf?text=&amp;docid=43583&amp;pageIndex=0&amp;doclang=fr&amp;mode=doc&amp;dir=&amp;occ=first&amp;part=1&amp;cid=259425</vt:lpwstr>
      </vt:variant>
      <vt:variant>
        <vt:lpwstr/>
      </vt:variant>
      <vt:variant>
        <vt:i4>7929899</vt:i4>
      </vt:variant>
      <vt:variant>
        <vt:i4>192</vt:i4>
      </vt:variant>
      <vt:variant>
        <vt:i4>0</vt:i4>
      </vt:variant>
      <vt:variant>
        <vt:i4>5</vt:i4>
      </vt:variant>
      <vt:variant>
        <vt:lpwstr>http://curia.europa.eu/juris/document/document.jsf?text=&amp;docid=140948&amp;pageIndex=0&amp;doclang=FR&amp;mode=lst&amp;dir=&amp;occ=first&amp;part=1&amp;cid=236029</vt:lpwstr>
      </vt:variant>
      <vt:variant>
        <vt:lpwstr/>
      </vt:variant>
      <vt:variant>
        <vt:i4>4128823</vt:i4>
      </vt:variant>
      <vt:variant>
        <vt:i4>189</vt:i4>
      </vt:variant>
      <vt:variant>
        <vt:i4>0</vt:i4>
      </vt:variant>
      <vt:variant>
        <vt:i4>5</vt:i4>
      </vt:variant>
      <vt:variant>
        <vt:lpwstr>http://curia.europa.eu/juris/showPdf.jsf?text=&amp;docid=46043&amp;pageIndex=0&amp;doclang=FR&amp;mode=doc&amp;dir=&amp;occ=first&amp;part=1&amp;cid=265783</vt:lpwstr>
      </vt:variant>
      <vt:variant>
        <vt:lpwstr/>
      </vt:variant>
      <vt:variant>
        <vt:i4>4128823</vt:i4>
      </vt:variant>
      <vt:variant>
        <vt:i4>186</vt:i4>
      </vt:variant>
      <vt:variant>
        <vt:i4>0</vt:i4>
      </vt:variant>
      <vt:variant>
        <vt:i4>5</vt:i4>
      </vt:variant>
      <vt:variant>
        <vt:lpwstr>http://curia.europa.eu/juris/showPdf.jsf?text=&amp;docid=48086&amp;pageIndex=0&amp;doclang=FR&amp;mode=doc&amp;dir=&amp;occ=first&amp;part=1&amp;cid=261598</vt:lpwstr>
      </vt:variant>
      <vt:variant>
        <vt:lpwstr/>
      </vt:variant>
      <vt:variant>
        <vt:i4>4128823</vt:i4>
      </vt:variant>
      <vt:variant>
        <vt:i4>183</vt:i4>
      </vt:variant>
      <vt:variant>
        <vt:i4>0</vt:i4>
      </vt:variant>
      <vt:variant>
        <vt:i4>5</vt:i4>
      </vt:variant>
      <vt:variant>
        <vt:lpwstr>http://curia.europa.eu/juris/showPdf.jsf?text=&amp;docid=48086&amp;pageIndex=0&amp;doclang=FR&amp;mode=doc&amp;dir=&amp;occ=first&amp;part=1&amp;cid=261598</vt:lpwstr>
      </vt:variant>
      <vt:variant>
        <vt:lpwstr/>
      </vt:variant>
      <vt:variant>
        <vt:i4>3997744</vt:i4>
      </vt:variant>
      <vt:variant>
        <vt:i4>180</vt:i4>
      </vt:variant>
      <vt:variant>
        <vt:i4>0</vt:i4>
      </vt:variant>
      <vt:variant>
        <vt:i4>5</vt:i4>
      </vt:variant>
      <vt:variant>
        <vt:lpwstr>http://curia.europa.eu/juris/showPdf.jsf?text=&amp;docid=71713&amp;pageIndex=0&amp;doclang=FR&amp;mode=doc&amp;dir=&amp;occ=first&amp;part=1&amp;cid=262290</vt:lpwstr>
      </vt:variant>
      <vt:variant>
        <vt:lpwstr/>
      </vt:variant>
      <vt:variant>
        <vt:i4>3735606</vt:i4>
      </vt:variant>
      <vt:variant>
        <vt:i4>177</vt:i4>
      </vt:variant>
      <vt:variant>
        <vt:i4>0</vt:i4>
      </vt:variant>
      <vt:variant>
        <vt:i4>5</vt:i4>
      </vt:variant>
      <vt:variant>
        <vt:lpwstr>http://curia.europa.eu/juris/showPdf.jsf?text=&amp;docid=45705&amp;pageIndex=0&amp;doclang=FR&amp;mode=doc&amp;dir=&amp;occ=first&amp;part=1&amp;cid=262186</vt:lpwstr>
      </vt:variant>
      <vt:variant>
        <vt:lpwstr/>
      </vt:variant>
      <vt:variant>
        <vt:i4>3735606</vt:i4>
      </vt:variant>
      <vt:variant>
        <vt:i4>174</vt:i4>
      </vt:variant>
      <vt:variant>
        <vt:i4>0</vt:i4>
      </vt:variant>
      <vt:variant>
        <vt:i4>5</vt:i4>
      </vt:variant>
      <vt:variant>
        <vt:lpwstr>http://curia.europa.eu/juris/showPdf.jsf?text=&amp;docid=45705&amp;pageIndex=0&amp;doclang=FR&amp;mode=doc&amp;dir=&amp;occ=first&amp;part=1&amp;cid=262186</vt:lpwstr>
      </vt:variant>
      <vt:variant>
        <vt:lpwstr/>
      </vt:variant>
      <vt:variant>
        <vt:i4>3080230</vt:i4>
      </vt:variant>
      <vt:variant>
        <vt:i4>171</vt:i4>
      </vt:variant>
      <vt:variant>
        <vt:i4>0</vt:i4>
      </vt:variant>
      <vt:variant>
        <vt:i4>5</vt:i4>
      </vt:variant>
      <vt:variant>
        <vt:lpwstr>http://curia.europa.eu/juris/showPdf.jsf?text=&amp;docid=45257&amp;pageIndex=0&amp;doclang=FR&amp;mode=lst&amp;dir=&amp;occ=first&amp;part=1&amp;cid=391748</vt:lpwstr>
      </vt:variant>
      <vt:variant>
        <vt:lpwstr/>
      </vt:variant>
      <vt:variant>
        <vt:i4>7929899</vt:i4>
      </vt:variant>
      <vt:variant>
        <vt:i4>168</vt:i4>
      </vt:variant>
      <vt:variant>
        <vt:i4>0</vt:i4>
      </vt:variant>
      <vt:variant>
        <vt:i4>5</vt:i4>
      </vt:variant>
      <vt:variant>
        <vt:lpwstr>http://curia.europa.eu/juris/document/document.jsf?text=&amp;docid=140948&amp;pageIndex=0&amp;doclang=FR&amp;mode=lst&amp;dir=&amp;occ=first&amp;part=1&amp;cid=236029</vt:lpwstr>
      </vt:variant>
      <vt:variant>
        <vt:lpwstr/>
      </vt:variant>
      <vt:variant>
        <vt:i4>7929899</vt:i4>
      </vt:variant>
      <vt:variant>
        <vt:i4>165</vt:i4>
      </vt:variant>
      <vt:variant>
        <vt:i4>0</vt:i4>
      </vt:variant>
      <vt:variant>
        <vt:i4>5</vt:i4>
      </vt:variant>
      <vt:variant>
        <vt:lpwstr>http://curia.europa.eu/juris/document/document.jsf?text=&amp;docid=140948&amp;pageIndex=0&amp;doclang=FR&amp;mode=lst&amp;dir=&amp;occ=first&amp;part=1&amp;cid=236029</vt:lpwstr>
      </vt:variant>
      <vt:variant>
        <vt:lpwstr/>
      </vt:variant>
      <vt:variant>
        <vt:i4>7929899</vt:i4>
      </vt:variant>
      <vt:variant>
        <vt:i4>162</vt:i4>
      </vt:variant>
      <vt:variant>
        <vt:i4>0</vt:i4>
      </vt:variant>
      <vt:variant>
        <vt:i4>5</vt:i4>
      </vt:variant>
      <vt:variant>
        <vt:lpwstr>http://curia.europa.eu/juris/document/document.jsf?text=&amp;docid=140948&amp;pageIndex=0&amp;doclang=FR&amp;mode=lst&amp;dir=&amp;occ=first&amp;part=1&amp;cid=236029</vt:lpwstr>
      </vt:variant>
      <vt:variant>
        <vt:lpwstr/>
      </vt:variant>
      <vt:variant>
        <vt:i4>3735606</vt:i4>
      </vt:variant>
      <vt:variant>
        <vt:i4>159</vt:i4>
      </vt:variant>
      <vt:variant>
        <vt:i4>0</vt:i4>
      </vt:variant>
      <vt:variant>
        <vt:i4>5</vt:i4>
      </vt:variant>
      <vt:variant>
        <vt:lpwstr>http://curia.europa.eu/juris/showPdf.jsf?text=&amp;docid=45705&amp;pageIndex=0&amp;doclang=FR&amp;mode=doc&amp;dir=&amp;occ=first&amp;part=1&amp;cid=262186</vt:lpwstr>
      </vt:variant>
      <vt:variant>
        <vt:lpwstr/>
      </vt:variant>
      <vt:variant>
        <vt:i4>6619188</vt:i4>
      </vt:variant>
      <vt:variant>
        <vt:i4>156</vt:i4>
      </vt:variant>
      <vt:variant>
        <vt:i4>0</vt:i4>
      </vt:variant>
      <vt:variant>
        <vt:i4>5</vt:i4>
      </vt:variant>
      <vt:variant>
        <vt:lpwstr>http://curia.europa.eu/juris/document/document.jsf;jsessionid=9ea7d2dc30d57b3d4f8f0dbf441e8b14a053d3345cd1.e34KaxiLc3qMb40Rch0SaxuSbxj0?text=&amp;docid=46358&amp;pageIndex=0&amp;doclang=FR&amp;mode=lst&amp;dir=&amp;occ=first&amp;part=1&amp;cid=802497</vt:lpwstr>
      </vt:variant>
      <vt:variant>
        <vt:lpwstr/>
      </vt:variant>
      <vt:variant>
        <vt:i4>6619188</vt:i4>
      </vt:variant>
      <vt:variant>
        <vt:i4>153</vt:i4>
      </vt:variant>
      <vt:variant>
        <vt:i4>0</vt:i4>
      </vt:variant>
      <vt:variant>
        <vt:i4>5</vt:i4>
      </vt:variant>
      <vt:variant>
        <vt:lpwstr>http://curia.europa.eu/juris/document/document.jsf;jsessionid=9ea7d2dc30d57b3d4f8f0dbf441e8b14a053d3345cd1.e34KaxiLc3qMb40Rch0SaxuSbxj0?text=&amp;docid=46358&amp;pageIndex=0&amp;doclang=FR&amp;mode=lst&amp;dir=&amp;occ=first&amp;part=1&amp;cid=802497</vt:lpwstr>
      </vt:variant>
      <vt:variant>
        <vt:lpwstr/>
      </vt:variant>
      <vt:variant>
        <vt:i4>87</vt:i4>
      </vt:variant>
      <vt:variant>
        <vt:i4>150</vt:i4>
      </vt:variant>
      <vt:variant>
        <vt:i4>0</vt:i4>
      </vt:variant>
      <vt:variant>
        <vt:i4>5</vt:i4>
      </vt:variant>
      <vt:variant>
        <vt:lpwstr>http://curia.europa.eu/juris/document/document.jsf?text=&amp;docid=48310&amp;pageIndex=0&amp;doclang=FR&amp;mode=lst&amp;dir=&amp;occ=first&amp;part=1&amp;cid=335135</vt:lpwstr>
      </vt:variant>
      <vt:variant>
        <vt:lpwstr/>
      </vt:variant>
      <vt:variant>
        <vt:i4>87</vt:i4>
      </vt:variant>
      <vt:variant>
        <vt:i4>147</vt:i4>
      </vt:variant>
      <vt:variant>
        <vt:i4>0</vt:i4>
      </vt:variant>
      <vt:variant>
        <vt:i4>5</vt:i4>
      </vt:variant>
      <vt:variant>
        <vt:lpwstr>http://curia.europa.eu/juris/document/document.jsf?text=&amp;docid=48310&amp;pageIndex=0&amp;doclang=FR&amp;mode=lst&amp;dir=&amp;occ=first&amp;part=1&amp;cid=335135</vt:lpwstr>
      </vt:variant>
      <vt:variant>
        <vt:lpwstr/>
      </vt:variant>
      <vt:variant>
        <vt:i4>3145783</vt:i4>
      </vt:variant>
      <vt:variant>
        <vt:i4>144</vt:i4>
      </vt:variant>
      <vt:variant>
        <vt:i4>0</vt:i4>
      </vt:variant>
      <vt:variant>
        <vt:i4>5</vt:i4>
      </vt:variant>
      <vt:variant>
        <vt:lpwstr>http://curia.europa.eu/juris/showPdf.jsf?text=&amp;docid=71050&amp;pageIndex=0&amp;doclang=FR&amp;mode=doc&amp;dir=&amp;occ=first&amp;part=1&amp;cid=262107</vt:lpwstr>
      </vt:variant>
      <vt:variant>
        <vt:lpwstr/>
      </vt:variant>
      <vt:variant>
        <vt:i4>3145783</vt:i4>
      </vt:variant>
      <vt:variant>
        <vt:i4>141</vt:i4>
      </vt:variant>
      <vt:variant>
        <vt:i4>0</vt:i4>
      </vt:variant>
      <vt:variant>
        <vt:i4>5</vt:i4>
      </vt:variant>
      <vt:variant>
        <vt:lpwstr>http://curia.europa.eu/juris/showPdf.jsf?text=&amp;docid=71050&amp;pageIndex=0&amp;doclang=FR&amp;mode=doc&amp;dir=&amp;occ=first&amp;part=1&amp;cid=262107</vt:lpwstr>
      </vt:variant>
      <vt:variant>
        <vt:lpwstr/>
      </vt:variant>
      <vt:variant>
        <vt:i4>3276857</vt:i4>
      </vt:variant>
      <vt:variant>
        <vt:i4>138</vt:i4>
      </vt:variant>
      <vt:variant>
        <vt:i4>0</vt:i4>
      </vt:variant>
      <vt:variant>
        <vt:i4>5</vt:i4>
      </vt:variant>
      <vt:variant>
        <vt:lpwstr>http://curia.europa.eu/juris/showPdf.jsf?text=&amp;docid=44198&amp;pageIndex=0&amp;doclang=FR&amp;mode=doc&amp;dir=&amp;occ=first&amp;part=1&amp;cid=259530</vt:lpwstr>
      </vt:variant>
      <vt:variant>
        <vt:lpwstr/>
      </vt:variant>
      <vt:variant>
        <vt:i4>3276857</vt:i4>
      </vt:variant>
      <vt:variant>
        <vt:i4>135</vt:i4>
      </vt:variant>
      <vt:variant>
        <vt:i4>0</vt:i4>
      </vt:variant>
      <vt:variant>
        <vt:i4>5</vt:i4>
      </vt:variant>
      <vt:variant>
        <vt:lpwstr>http://curia.europa.eu/juris/showPdf.jsf?text=&amp;docid=44198&amp;pageIndex=0&amp;doclang=FR&amp;mode=doc&amp;dir=&amp;occ=first&amp;part=1&amp;cid=259530</vt:lpwstr>
      </vt:variant>
      <vt:variant>
        <vt:lpwstr/>
      </vt:variant>
      <vt:variant>
        <vt:i4>3211325</vt:i4>
      </vt:variant>
      <vt:variant>
        <vt:i4>132</vt:i4>
      </vt:variant>
      <vt:variant>
        <vt:i4>0</vt:i4>
      </vt:variant>
      <vt:variant>
        <vt:i4>5</vt:i4>
      </vt:variant>
      <vt:variant>
        <vt:lpwstr>http://curia.europa.eu/juris/showPdf.jsf?text=&amp;docid=48707&amp;pageIndex=0&amp;doclang=FR&amp;mode=doc&amp;dir=&amp;occ=first&amp;part=1&amp;cid=261711</vt:lpwstr>
      </vt:variant>
      <vt:variant>
        <vt:lpwstr/>
      </vt:variant>
      <vt:variant>
        <vt:i4>3211325</vt:i4>
      </vt:variant>
      <vt:variant>
        <vt:i4>129</vt:i4>
      </vt:variant>
      <vt:variant>
        <vt:i4>0</vt:i4>
      </vt:variant>
      <vt:variant>
        <vt:i4>5</vt:i4>
      </vt:variant>
      <vt:variant>
        <vt:lpwstr>http://curia.europa.eu/juris/showPdf.jsf?text=&amp;docid=48707&amp;pageIndex=0&amp;doclang=FR&amp;mode=doc&amp;dir=&amp;occ=first&amp;part=1&amp;cid=261711</vt:lpwstr>
      </vt:variant>
      <vt:variant>
        <vt:lpwstr/>
      </vt:variant>
      <vt:variant>
        <vt:i4>3539005</vt:i4>
      </vt:variant>
      <vt:variant>
        <vt:i4>126</vt:i4>
      </vt:variant>
      <vt:variant>
        <vt:i4>0</vt:i4>
      </vt:variant>
      <vt:variant>
        <vt:i4>5</vt:i4>
      </vt:variant>
      <vt:variant>
        <vt:lpwstr>http://curia.europa.eu/juris/showPdf.jsf?text=&amp;docid=48310&amp;pageIndex=0&amp;doclang=FR&amp;mode=doc&amp;dir=&amp;occ=first&amp;part=1&amp;cid=261657</vt:lpwstr>
      </vt:variant>
      <vt:variant>
        <vt:lpwstr/>
      </vt:variant>
      <vt:variant>
        <vt:i4>3539005</vt:i4>
      </vt:variant>
      <vt:variant>
        <vt:i4>123</vt:i4>
      </vt:variant>
      <vt:variant>
        <vt:i4>0</vt:i4>
      </vt:variant>
      <vt:variant>
        <vt:i4>5</vt:i4>
      </vt:variant>
      <vt:variant>
        <vt:lpwstr>http://curia.europa.eu/juris/showPdf.jsf?text=&amp;docid=48310&amp;pageIndex=0&amp;doclang=FR&amp;mode=doc&amp;dir=&amp;occ=first&amp;part=1&amp;cid=261657</vt:lpwstr>
      </vt:variant>
      <vt:variant>
        <vt:lpwstr/>
      </vt:variant>
      <vt:variant>
        <vt:i4>4128823</vt:i4>
      </vt:variant>
      <vt:variant>
        <vt:i4>120</vt:i4>
      </vt:variant>
      <vt:variant>
        <vt:i4>0</vt:i4>
      </vt:variant>
      <vt:variant>
        <vt:i4>5</vt:i4>
      </vt:variant>
      <vt:variant>
        <vt:lpwstr>http://curia.europa.eu/juris/showPdf.jsf?text=&amp;docid=48086&amp;pageIndex=0&amp;doclang=FR&amp;mode=doc&amp;dir=&amp;occ=first&amp;part=1&amp;cid=261598</vt:lpwstr>
      </vt:variant>
      <vt:variant>
        <vt:lpwstr/>
      </vt:variant>
      <vt:variant>
        <vt:i4>4128823</vt:i4>
      </vt:variant>
      <vt:variant>
        <vt:i4>117</vt:i4>
      </vt:variant>
      <vt:variant>
        <vt:i4>0</vt:i4>
      </vt:variant>
      <vt:variant>
        <vt:i4>5</vt:i4>
      </vt:variant>
      <vt:variant>
        <vt:lpwstr>http://curia.europa.eu/juris/showPdf.jsf?text=&amp;docid=48086&amp;pageIndex=0&amp;doclang=FR&amp;mode=doc&amp;dir=&amp;occ=first&amp;part=1&amp;cid=261598</vt:lpwstr>
      </vt:variant>
      <vt:variant>
        <vt:lpwstr/>
      </vt:variant>
      <vt:variant>
        <vt:i4>3407924</vt:i4>
      </vt:variant>
      <vt:variant>
        <vt:i4>114</vt:i4>
      </vt:variant>
      <vt:variant>
        <vt:i4>0</vt:i4>
      </vt:variant>
      <vt:variant>
        <vt:i4>5</vt:i4>
      </vt:variant>
      <vt:variant>
        <vt:lpwstr>http://curia.europa.eu/juris/showPdf.jsf?text=&amp;docid=46358&amp;pageIndex=0&amp;doclang=FR&amp;mode=doc&amp;dir=&amp;occ=first&amp;part=1&amp;cid=259675</vt:lpwstr>
      </vt:variant>
      <vt:variant>
        <vt:lpwstr/>
      </vt:variant>
      <vt:variant>
        <vt:i4>3407924</vt:i4>
      </vt:variant>
      <vt:variant>
        <vt:i4>111</vt:i4>
      </vt:variant>
      <vt:variant>
        <vt:i4>0</vt:i4>
      </vt:variant>
      <vt:variant>
        <vt:i4>5</vt:i4>
      </vt:variant>
      <vt:variant>
        <vt:lpwstr>http://curia.europa.eu/juris/showPdf.jsf?text=&amp;docid=46358&amp;pageIndex=0&amp;doclang=FR&amp;mode=doc&amp;dir=&amp;occ=first&amp;part=1&amp;cid=259675</vt:lpwstr>
      </vt:variant>
      <vt:variant>
        <vt:lpwstr/>
      </vt:variant>
      <vt:variant>
        <vt:i4>327765</vt:i4>
      </vt:variant>
      <vt:variant>
        <vt:i4>108</vt:i4>
      </vt:variant>
      <vt:variant>
        <vt:i4>0</vt:i4>
      </vt:variant>
      <vt:variant>
        <vt:i4>5</vt:i4>
      </vt:variant>
      <vt:variant>
        <vt:lpwstr>http://curia.europa.eu/juris/document/document.jsf?text=&amp;docid=43583&amp;pageIndex=0&amp;doclang=FR&amp;mode=lst&amp;dir=&amp;occ=first&amp;part=1&amp;cid=335135</vt:lpwstr>
      </vt:variant>
      <vt:variant>
        <vt:lpwstr/>
      </vt:variant>
      <vt:variant>
        <vt:i4>327765</vt:i4>
      </vt:variant>
      <vt:variant>
        <vt:i4>105</vt:i4>
      </vt:variant>
      <vt:variant>
        <vt:i4>0</vt:i4>
      </vt:variant>
      <vt:variant>
        <vt:i4>5</vt:i4>
      </vt:variant>
      <vt:variant>
        <vt:lpwstr>http://curia.europa.eu/juris/document/document.jsf?text=&amp;docid=43583&amp;pageIndex=0&amp;doclang=FR&amp;mode=lst&amp;dir=&amp;occ=first&amp;part=1&amp;cid=335135</vt:lpwstr>
      </vt:variant>
      <vt:variant>
        <vt:lpwstr/>
      </vt:variant>
      <vt:variant>
        <vt:i4>3276857</vt:i4>
      </vt:variant>
      <vt:variant>
        <vt:i4>102</vt:i4>
      </vt:variant>
      <vt:variant>
        <vt:i4>0</vt:i4>
      </vt:variant>
      <vt:variant>
        <vt:i4>5</vt:i4>
      </vt:variant>
      <vt:variant>
        <vt:lpwstr>http://curia.europa.eu/juris/showPdf.jsf?text=&amp;docid=44198&amp;pageIndex=0&amp;doclang=FR&amp;mode=doc&amp;dir=&amp;occ=first&amp;part=1&amp;cid=259530</vt:lpwstr>
      </vt:variant>
      <vt:variant>
        <vt:lpwstr/>
      </vt:variant>
      <vt:variant>
        <vt:i4>3276857</vt:i4>
      </vt:variant>
      <vt:variant>
        <vt:i4>99</vt:i4>
      </vt:variant>
      <vt:variant>
        <vt:i4>0</vt:i4>
      </vt:variant>
      <vt:variant>
        <vt:i4>5</vt:i4>
      </vt:variant>
      <vt:variant>
        <vt:lpwstr>http://curia.europa.eu/juris/showPdf.jsf?text=&amp;docid=44198&amp;pageIndex=0&amp;doclang=FR&amp;mode=doc&amp;dir=&amp;occ=first&amp;part=1&amp;cid=259530</vt:lpwstr>
      </vt:variant>
      <vt:variant>
        <vt:lpwstr/>
      </vt:variant>
      <vt:variant>
        <vt:i4>327765</vt:i4>
      </vt:variant>
      <vt:variant>
        <vt:i4>96</vt:i4>
      </vt:variant>
      <vt:variant>
        <vt:i4>0</vt:i4>
      </vt:variant>
      <vt:variant>
        <vt:i4>5</vt:i4>
      </vt:variant>
      <vt:variant>
        <vt:lpwstr>http://curia.europa.eu/juris/document/document.jsf?text=&amp;docid=43583&amp;pageIndex=0&amp;doclang=FR&amp;mode=lst&amp;dir=&amp;occ=first&amp;part=1&amp;cid=335135</vt:lpwstr>
      </vt:variant>
      <vt:variant>
        <vt:lpwstr/>
      </vt:variant>
      <vt:variant>
        <vt:i4>327765</vt:i4>
      </vt:variant>
      <vt:variant>
        <vt:i4>93</vt:i4>
      </vt:variant>
      <vt:variant>
        <vt:i4>0</vt:i4>
      </vt:variant>
      <vt:variant>
        <vt:i4>5</vt:i4>
      </vt:variant>
      <vt:variant>
        <vt:lpwstr>http://curia.europa.eu/juris/document/document.jsf?text=&amp;docid=43583&amp;pageIndex=0&amp;doclang=FR&amp;mode=lst&amp;dir=&amp;occ=first&amp;part=1&amp;cid=335135</vt:lpwstr>
      </vt:variant>
      <vt:variant>
        <vt:lpwstr/>
      </vt:variant>
      <vt:variant>
        <vt:i4>4128828</vt:i4>
      </vt:variant>
      <vt:variant>
        <vt:i4>90</vt:i4>
      </vt:variant>
      <vt:variant>
        <vt:i4>0</vt:i4>
      </vt:variant>
      <vt:variant>
        <vt:i4>5</vt:i4>
      </vt:variant>
      <vt:variant>
        <vt:lpwstr>http://curia.europa.eu/juris/showPdf.jsf?text=&amp;docid=47592&amp;pageIndex=0&amp;doclang=FR&amp;mode=doc&amp;dir=&amp;occ=first&amp;part=1&amp;cid=261082</vt:lpwstr>
      </vt:variant>
      <vt:variant>
        <vt:lpwstr/>
      </vt:variant>
      <vt:variant>
        <vt:i4>4128828</vt:i4>
      </vt:variant>
      <vt:variant>
        <vt:i4>87</vt:i4>
      </vt:variant>
      <vt:variant>
        <vt:i4>0</vt:i4>
      </vt:variant>
      <vt:variant>
        <vt:i4>5</vt:i4>
      </vt:variant>
      <vt:variant>
        <vt:lpwstr>http://curia.europa.eu/juris/showPdf.jsf?text=&amp;docid=47592&amp;pageIndex=0&amp;doclang=FR&amp;mode=doc&amp;dir=&amp;occ=first&amp;part=1&amp;cid=261082</vt:lpwstr>
      </vt:variant>
      <vt:variant>
        <vt:lpwstr/>
      </vt:variant>
      <vt:variant>
        <vt:i4>196694</vt:i4>
      </vt:variant>
      <vt:variant>
        <vt:i4>84</vt:i4>
      </vt:variant>
      <vt:variant>
        <vt:i4>0</vt:i4>
      </vt:variant>
      <vt:variant>
        <vt:i4>5</vt:i4>
      </vt:variant>
      <vt:variant>
        <vt:lpwstr>http://curia.europa.eu/juris/document/document.jsf?text=&amp;docid=48707&amp;pageIndex=0&amp;doclang=FR&amp;mode=lst&amp;dir=&amp;occ=first&amp;part=1&amp;cid=335135</vt:lpwstr>
      </vt:variant>
      <vt:variant>
        <vt:lpwstr/>
      </vt:variant>
      <vt:variant>
        <vt:i4>196694</vt:i4>
      </vt:variant>
      <vt:variant>
        <vt:i4>81</vt:i4>
      </vt:variant>
      <vt:variant>
        <vt:i4>0</vt:i4>
      </vt:variant>
      <vt:variant>
        <vt:i4>5</vt:i4>
      </vt:variant>
      <vt:variant>
        <vt:lpwstr>http://curia.europa.eu/juris/document/document.jsf?text=&amp;docid=48707&amp;pageIndex=0&amp;doclang=FR&amp;mode=lst&amp;dir=&amp;occ=first&amp;part=1&amp;cid=335135</vt:lpwstr>
      </vt:variant>
      <vt:variant>
        <vt:lpwstr/>
      </vt:variant>
      <vt:variant>
        <vt:i4>7471145</vt:i4>
      </vt:variant>
      <vt:variant>
        <vt:i4>78</vt:i4>
      </vt:variant>
      <vt:variant>
        <vt:i4>0</vt:i4>
      </vt:variant>
      <vt:variant>
        <vt:i4>5</vt:i4>
      </vt:variant>
      <vt:variant>
        <vt:lpwstr>http://curia.europa.eu/juris/document/document.jsf?text=&amp;docid=138461&amp;pageIndex=0&amp;doclang=FR&amp;mode=lst&amp;dir=&amp;occ=first&amp;part=1&amp;cid=325118</vt:lpwstr>
      </vt:variant>
      <vt:variant>
        <vt:lpwstr/>
      </vt:variant>
      <vt:variant>
        <vt:i4>720985</vt:i4>
      </vt:variant>
      <vt:variant>
        <vt:i4>75</vt:i4>
      </vt:variant>
      <vt:variant>
        <vt:i4>0</vt:i4>
      </vt:variant>
      <vt:variant>
        <vt:i4>5</vt:i4>
      </vt:variant>
      <vt:variant>
        <vt:lpwstr>http://curia.europa.eu/juris/document/document.jsf?text=&amp;docid=46358&amp;pageIndex=0&amp;doclang=FR&amp;mode=lst&amp;dir=&amp;occ=first&amp;part=1&amp;cid=335509</vt:lpwstr>
      </vt:variant>
      <vt:variant>
        <vt:lpwstr/>
      </vt:variant>
      <vt:variant>
        <vt:i4>589911</vt:i4>
      </vt:variant>
      <vt:variant>
        <vt:i4>72</vt:i4>
      </vt:variant>
      <vt:variant>
        <vt:i4>0</vt:i4>
      </vt:variant>
      <vt:variant>
        <vt:i4>5</vt:i4>
      </vt:variant>
      <vt:variant>
        <vt:lpwstr>http://curia.europa.eu/juris/document/document.jsf?text=&amp;docid=44198&amp;pageIndex=0&amp;doclang=FR&amp;mode=lst&amp;dir=&amp;occ=first&amp;part=1&amp;cid=335509</vt:lpwstr>
      </vt:variant>
      <vt:variant>
        <vt:lpwstr/>
      </vt:variant>
      <vt:variant>
        <vt:i4>589911</vt:i4>
      </vt:variant>
      <vt:variant>
        <vt:i4>69</vt:i4>
      </vt:variant>
      <vt:variant>
        <vt:i4>0</vt:i4>
      </vt:variant>
      <vt:variant>
        <vt:i4>5</vt:i4>
      </vt:variant>
      <vt:variant>
        <vt:lpwstr>http://curia.europa.eu/juris/document/document.jsf?text=&amp;docid=44198&amp;pageIndex=0&amp;doclang=FR&amp;mode=lst&amp;dir=&amp;occ=first&amp;part=1&amp;cid=335509</vt:lpwstr>
      </vt:variant>
      <vt:variant>
        <vt:lpwstr/>
      </vt:variant>
      <vt:variant>
        <vt:i4>393297</vt:i4>
      </vt:variant>
      <vt:variant>
        <vt:i4>66</vt:i4>
      </vt:variant>
      <vt:variant>
        <vt:i4>0</vt:i4>
      </vt:variant>
      <vt:variant>
        <vt:i4>5</vt:i4>
      </vt:variant>
      <vt:variant>
        <vt:lpwstr>http://curia.europa.eu/juris/document/document.jsf?text=&amp;docid=43583&amp;pageIndex=0&amp;doclang=FR&amp;mode=lst&amp;dir=&amp;occ=first&amp;part=1&amp;cid=335509</vt:lpwstr>
      </vt:variant>
      <vt:variant>
        <vt:lpwstr/>
      </vt:variant>
      <vt:variant>
        <vt:i4>393297</vt:i4>
      </vt:variant>
      <vt:variant>
        <vt:i4>63</vt:i4>
      </vt:variant>
      <vt:variant>
        <vt:i4>0</vt:i4>
      </vt:variant>
      <vt:variant>
        <vt:i4>5</vt:i4>
      </vt:variant>
      <vt:variant>
        <vt:lpwstr>http://curia.europa.eu/juris/document/document.jsf?text=&amp;docid=43583&amp;pageIndex=0&amp;doclang=FR&amp;mode=lst&amp;dir=&amp;occ=first&amp;part=1&amp;cid=335509</vt:lpwstr>
      </vt:variant>
      <vt:variant>
        <vt:lpwstr/>
      </vt:variant>
      <vt:variant>
        <vt:i4>3538968</vt:i4>
      </vt:variant>
      <vt:variant>
        <vt:i4>60</vt:i4>
      </vt:variant>
      <vt:variant>
        <vt:i4>0</vt:i4>
      </vt:variant>
      <vt:variant>
        <vt:i4>5</vt:i4>
      </vt:variant>
      <vt:variant>
        <vt:lpwstr>https://www.legifrance.gouv.fr/affichTexteArticle.do;jsessionid=EEFB662356F8361058F3E04C4975B7F0.tpdila21v_3?idArticle=LEGIARTI000030922155&amp;cidTexte=LEGITEXT000030921938&amp;dateTexte=20170920&amp;categorieLien=id&amp;oldAction=&amp;nbResultRech=</vt:lpwstr>
      </vt:variant>
      <vt:variant>
        <vt:lpwstr/>
      </vt:variant>
      <vt:variant>
        <vt:i4>852053</vt:i4>
      </vt:variant>
      <vt:variant>
        <vt:i4>57</vt:i4>
      </vt:variant>
      <vt:variant>
        <vt:i4>0</vt:i4>
      </vt:variant>
      <vt:variant>
        <vt:i4>5</vt:i4>
      </vt:variant>
      <vt:variant>
        <vt:lpwstr>http://curia.europa.eu/juris/document/document.jsf?text=&amp;docid=49826&amp;pageIndex=0&amp;doclang=FR&amp;mode=lst&amp;dir=&amp;occ=first&amp;part=1&amp;cid=335135</vt:lpwstr>
      </vt:variant>
      <vt:variant>
        <vt:lpwstr/>
      </vt:variant>
      <vt:variant>
        <vt:i4>131166</vt:i4>
      </vt:variant>
      <vt:variant>
        <vt:i4>54</vt:i4>
      </vt:variant>
      <vt:variant>
        <vt:i4>0</vt:i4>
      </vt:variant>
      <vt:variant>
        <vt:i4>5</vt:i4>
      </vt:variant>
      <vt:variant>
        <vt:lpwstr>http://curia.europa.eu/juris/document/document.jsf?text=&amp;docid=48283&amp;pageIndex=0&amp;doclang=FR&amp;mode=lst&amp;dir=&amp;occ=first&amp;part=1&amp;cid=335135</vt:lpwstr>
      </vt:variant>
      <vt:variant>
        <vt:lpwstr/>
      </vt:variant>
      <vt:variant>
        <vt:i4>131138</vt:i4>
      </vt:variant>
      <vt:variant>
        <vt:i4>51</vt:i4>
      </vt:variant>
      <vt:variant>
        <vt:i4>0</vt:i4>
      </vt:variant>
      <vt:variant>
        <vt:i4>5</vt:i4>
      </vt:variant>
      <vt:variant>
        <vt:lpwstr>http://www.legifrance.gouv.fr/affichJuriAdmin.do?oldAction=rechJuriAdmin&amp;idTexte=CETATEXT000007898785&amp;fastReqId=1632336983&amp;fastPos=1</vt:lpwstr>
      </vt:variant>
      <vt:variant>
        <vt:lpwstr/>
      </vt:variant>
      <vt:variant>
        <vt:i4>1638473</vt:i4>
      </vt:variant>
      <vt:variant>
        <vt:i4>48</vt:i4>
      </vt:variant>
      <vt:variant>
        <vt:i4>0</vt:i4>
      </vt:variant>
      <vt:variant>
        <vt:i4>5</vt:i4>
      </vt:variant>
      <vt:variant>
        <vt:lpwstr>http://www.legifrance.gouv.fr/affichJuriAdmin.do?idTexte=CETATEXT000023997030</vt:lpwstr>
      </vt:variant>
      <vt:variant>
        <vt:lpwstr/>
      </vt:variant>
      <vt:variant>
        <vt:i4>3145772</vt:i4>
      </vt:variant>
      <vt:variant>
        <vt:i4>45</vt:i4>
      </vt:variant>
      <vt:variant>
        <vt:i4>0</vt:i4>
      </vt:variant>
      <vt:variant>
        <vt:i4>5</vt:i4>
      </vt:variant>
      <vt:variant>
        <vt:lpwstr>http://www.legifrance.gouv.fr/affichTexte.do?cidTexte=JORFTEXT000028172243</vt:lpwstr>
      </vt:variant>
      <vt:variant>
        <vt:lpwstr/>
      </vt:variant>
      <vt:variant>
        <vt:i4>655430</vt:i4>
      </vt:variant>
      <vt:variant>
        <vt:i4>42</vt:i4>
      </vt:variant>
      <vt:variant>
        <vt:i4>0</vt:i4>
      </vt:variant>
      <vt:variant>
        <vt:i4>5</vt:i4>
      </vt:variant>
      <vt:variant>
        <vt:lpwstr>http://www.legifrance.gouv.fr/affichJuriAdmin.do?oldAction=rechJuriAdmin&amp;idTexte=CETATEXT000007742340&amp;fastReqId=1835666354&amp;fastPos=1</vt:lpwstr>
      </vt:variant>
      <vt:variant>
        <vt:lpwstr/>
      </vt:variant>
      <vt:variant>
        <vt:i4>917581</vt:i4>
      </vt:variant>
      <vt:variant>
        <vt:i4>39</vt:i4>
      </vt:variant>
      <vt:variant>
        <vt:i4>0</vt:i4>
      </vt:variant>
      <vt:variant>
        <vt:i4>5</vt:i4>
      </vt:variant>
      <vt:variant>
        <vt:lpwstr>http://www.legifrance.gouv.fr/affichJuriAdmin.do?oldAction=rechJuriAdmin&amp;idTexte=CETATEXT000007841194&amp;fastReqId=1778872362&amp;fastPos=1</vt:lpwstr>
      </vt:variant>
      <vt:variant>
        <vt:lpwstr/>
      </vt:variant>
      <vt:variant>
        <vt:i4>1179736</vt:i4>
      </vt:variant>
      <vt:variant>
        <vt:i4>36</vt:i4>
      </vt:variant>
      <vt:variant>
        <vt:i4>0</vt:i4>
      </vt:variant>
      <vt:variant>
        <vt:i4>5</vt:i4>
      </vt:variant>
      <vt:variant>
        <vt:lpwstr>https://www.legifrance.gouv.fr/affichTexte.do?cidTexte=JORFTEXT000025202222&amp;fastPos=2&amp;fastReqId=1887730985&amp;categorieLien=cid&amp;oldAction=rechTexte</vt:lpwstr>
      </vt:variant>
      <vt:variant>
        <vt:lpwstr/>
      </vt:variant>
      <vt:variant>
        <vt:i4>3014767</vt:i4>
      </vt:variant>
      <vt:variant>
        <vt:i4>33</vt:i4>
      </vt:variant>
      <vt:variant>
        <vt:i4>0</vt:i4>
      </vt:variant>
      <vt:variant>
        <vt:i4>5</vt:i4>
      </vt:variant>
      <vt:variant>
        <vt:lpwstr>https://www.legifrance.gouv.fr/affichTexte.do?cidTexte=JORFTEXT000024021430&amp;fastPos=3&amp;fastReqId=82781962&amp;categorieLien=cid&amp;oldAction=rechTexte</vt:lpwstr>
      </vt:variant>
      <vt:variant>
        <vt:lpwstr>LEGISCTA000024023326</vt:lpwstr>
      </vt:variant>
      <vt:variant>
        <vt:i4>458823</vt:i4>
      </vt:variant>
      <vt:variant>
        <vt:i4>30</vt:i4>
      </vt:variant>
      <vt:variant>
        <vt:i4>0</vt:i4>
      </vt:variant>
      <vt:variant>
        <vt:i4>5</vt:i4>
      </vt:variant>
      <vt:variant>
        <vt:lpwstr>http://www.legifrance.gouv.fr/affichJuriAdmin.do?oldAction=rechJuriAdmin&amp;idTexte=CETATEXT000028411876&amp;fastReqId=2055510632&amp;fastPos=1</vt:lpwstr>
      </vt:variant>
      <vt:variant>
        <vt:lpwstr/>
      </vt:variant>
      <vt:variant>
        <vt:i4>3211319</vt:i4>
      </vt:variant>
      <vt:variant>
        <vt:i4>27</vt:i4>
      </vt:variant>
      <vt:variant>
        <vt:i4>0</vt:i4>
      </vt:variant>
      <vt:variant>
        <vt:i4>5</vt:i4>
      </vt:variant>
      <vt:variant>
        <vt:lpwstr>http://curia.europa.eu/juris/showPdf.jsf?text=&amp;docid=44071&amp;pageIndex=0&amp;doclang=FR&amp;mode=doc&amp;dir=&amp;occ=first&amp;part=1&amp;cid=262634</vt:lpwstr>
      </vt:variant>
      <vt:variant>
        <vt:lpwstr/>
      </vt:variant>
      <vt:variant>
        <vt:i4>7929905</vt:i4>
      </vt:variant>
      <vt:variant>
        <vt:i4>24</vt:i4>
      </vt:variant>
      <vt:variant>
        <vt:i4>0</vt:i4>
      </vt:variant>
      <vt:variant>
        <vt:i4>5</vt:i4>
      </vt:variant>
      <vt:variant>
        <vt:lpwstr>http://www.legifrance.gouv.fr/affichJuriAdmin.do?oldAction=rechJuriAdmin&amp;idTexte=CETATEXT000026089933&amp;fastReqId=204851191&amp;fastPos=1</vt:lpwstr>
      </vt:variant>
      <vt:variant>
        <vt:lpwstr/>
      </vt:variant>
      <vt:variant>
        <vt:i4>6226008</vt:i4>
      </vt:variant>
      <vt:variant>
        <vt:i4>21</vt:i4>
      </vt:variant>
      <vt:variant>
        <vt:i4>0</vt:i4>
      </vt:variant>
      <vt:variant>
        <vt:i4>5</vt:i4>
      </vt:variant>
      <vt:variant>
        <vt:lpwstr>https://www.legifrance.gouv.fr/affichJuriAdmin.do?oldAction=rechJuriAdmin&amp;idTexte=CETATEXT000026089933&amp;fastReqId=1793890222&amp;fastPos=1</vt:lpwstr>
      </vt:variant>
      <vt:variant>
        <vt:lpwstr/>
      </vt:variant>
      <vt:variant>
        <vt:i4>8192063</vt:i4>
      </vt:variant>
      <vt:variant>
        <vt:i4>18</vt:i4>
      </vt:variant>
      <vt:variant>
        <vt:i4>0</vt:i4>
      </vt:variant>
      <vt:variant>
        <vt:i4>5</vt:i4>
      </vt:variant>
      <vt:variant>
        <vt:lpwstr>http://www.legifrance.gouv.fr/affichJuriAdmin.do?oldAction=rechJuriAdmin&amp;idTexte=CETATEXT000019159557&amp;fastReqId=703129786&amp;fastPos=1</vt:lpwstr>
      </vt:variant>
      <vt:variant>
        <vt:lpwstr/>
      </vt:variant>
      <vt:variant>
        <vt:i4>1114171</vt:i4>
      </vt:variant>
      <vt:variant>
        <vt:i4>15</vt:i4>
      </vt:variant>
      <vt:variant>
        <vt:i4>0</vt:i4>
      </vt:variant>
      <vt:variant>
        <vt:i4>5</vt:i4>
      </vt:variant>
      <vt:variant>
        <vt:lpwstr>https://www.legifrance.gouv.fr/affichTexteArticle.do;jsessionid=2423355DDADB88974A37DF674D2CF1D8.tpdila16v_2?idArticle=LEGIARTI000031943127&amp;cidTexte=LEGITEXT000031942966&amp;dateTexte=20170920&amp;categorieLien=id&amp;oldAction=</vt:lpwstr>
      </vt:variant>
      <vt:variant>
        <vt:lpwstr/>
      </vt:variant>
      <vt:variant>
        <vt:i4>4980843</vt:i4>
      </vt:variant>
      <vt:variant>
        <vt:i4>12</vt:i4>
      </vt:variant>
      <vt:variant>
        <vt:i4>0</vt:i4>
      </vt:variant>
      <vt:variant>
        <vt:i4>5</vt:i4>
      </vt:variant>
      <vt:variant>
        <vt:lpwstr>https://www.legifrance.gouv.fr/affichTexteArticle.do;jsessionid=222E9CE72FFC702605AB6D24D7EC88EE.tpdila16v_2?idArticle=LEGIARTI000031943125&amp;cidTexte=LEGITEXT000031942966&amp;dateTexte=20170920&amp;categorieLien=id&amp;oldAction=</vt:lpwstr>
      </vt:variant>
      <vt:variant>
        <vt:lpwstr/>
      </vt:variant>
      <vt:variant>
        <vt:i4>1638449</vt:i4>
      </vt:variant>
      <vt:variant>
        <vt:i4>9</vt:i4>
      </vt:variant>
      <vt:variant>
        <vt:i4>0</vt:i4>
      </vt:variant>
      <vt:variant>
        <vt:i4>5</vt:i4>
      </vt:variant>
      <vt:variant>
        <vt:lpwstr>https://www.legifrance.gouv.fr/affichTexteArticle.do;jsessionid=EEFB662356F8361058F3E04C4975B7F0.tpdila21v_3?idArticle=LEGIARTI000030922151&amp;cidTexte=LEGITEXT000030921938&amp;dateTexte=20170920&amp;categorieLien=id&amp;oldAction=</vt:lpwstr>
      </vt:variant>
      <vt:variant>
        <vt:lpwstr/>
      </vt:variant>
      <vt:variant>
        <vt:i4>1638451</vt:i4>
      </vt:variant>
      <vt:variant>
        <vt:i4>6</vt:i4>
      </vt:variant>
      <vt:variant>
        <vt:i4>0</vt:i4>
      </vt:variant>
      <vt:variant>
        <vt:i4>5</vt:i4>
      </vt:variant>
      <vt:variant>
        <vt:lpwstr>https://www.legifrance.gouv.fr/affichTexteArticle.do;jsessionid=EEFB662356F8361058F3E04C4975B7F0.tpdila21v_3?idArticle=LEGIARTI000030922153&amp;cidTexte=LEGITEXT000030921938&amp;dateTexte=20170920&amp;categorieLien=id&amp;oldAction=</vt:lpwstr>
      </vt:variant>
      <vt:variant>
        <vt:lpwstr/>
      </vt:variant>
      <vt:variant>
        <vt:i4>3866664</vt:i4>
      </vt:variant>
      <vt:variant>
        <vt:i4>3</vt:i4>
      </vt:variant>
      <vt:variant>
        <vt:i4>0</vt:i4>
      </vt:variant>
      <vt:variant>
        <vt:i4>5</vt:i4>
      </vt:variant>
      <vt:variant>
        <vt:lpwstr>http://eur-lex.europa.eu/legal-content/FR/TXT/PDF/?uri=CELEX:32014L0025&amp;from=FR</vt:lpwstr>
      </vt:variant>
      <vt:variant>
        <vt:lpwstr/>
      </vt:variant>
      <vt:variant>
        <vt:i4>3866665</vt:i4>
      </vt:variant>
      <vt:variant>
        <vt:i4>0</vt:i4>
      </vt:variant>
      <vt:variant>
        <vt:i4>0</vt:i4>
      </vt:variant>
      <vt:variant>
        <vt:i4>5</vt:i4>
      </vt:variant>
      <vt:variant>
        <vt:lpwstr>http://eur-lex.europa.eu/legal-content/FR/TXT/PDF/?uri=CELEX:32014L0024&amp;from=FR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DE LA FICHE</dc:title>
  <dc:creator>MINEFI</dc:creator>
  <cp:lastModifiedBy>DYCKMANS Sandrine ( EGF-BTP )</cp:lastModifiedBy>
  <cp:revision>2</cp:revision>
  <cp:lastPrinted>2017-04-10T08:26:00Z</cp:lastPrinted>
  <dcterms:created xsi:type="dcterms:W3CDTF">2021-07-23T09:44:00Z</dcterms:created>
  <dcterms:modified xsi:type="dcterms:W3CDTF">2021-07-23T09:44:00Z</dcterms:modified>
</cp:coreProperties>
</file>