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DB252" w14:textId="77777777" w:rsidR="00766988" w:rsidRPr="006F3E14" w:rsidRDefault="00766988" w:rsidP="006F3E14">
      <w:pPr>
        <w:spacing w:after="0" w:line="360" w:lineRule="auto"/>
        <w:jc w:val="center"/>
        <w:rPr>
          <w:rFonts w:ascii="Arial" w:eastAsia="Times New Roman" w:hAnsi="Arial" w:cs="Arial"/>
          <w:lang w:eastAsia="fr-FR"/>
        </w:rPr>
      </w:pPr>
    </w:p>
    <w:p w14:paraId="18B0311B" w14:textId="65C1E40C" w:rsidR="00EF01E5" w:rsidRDefault="00C10324" w:rsidP="000D4D9A">
      <w:pPr>
        <w:spacing w:after="0" w:line="360" w:lineRule="auto"/>
        <w:jc w:val="center"/>
        <w:rPr>
          <w:rFonts w:ascii="Arial" w:eastAsia="Times New Roman" w:hAnsi="Arial" w:cs="Arial"/>
          <w:b/>
          <w:sz w:val="36"/>
          <w:szCs w:val="36"/>
          <w:u w:val="single"/>
          <w:lang w:eastAsia="fr-FR"/>
        </w:rPr>
      </w:pPr>
      <w:r>
        <w:rPr>
          <w:rFonts w:ascii="Arial" w:eastAsia="Times New Roman" w:hAnsi="Arial" w:cs="Arial"/>
          <w:b/>
          <w:sz w:val="36"/>
          <w:szCs w:val="36"/>
          <w:u w:val="single"/>
          <w:lang w:eastAsia="fr-FR"/>
        </w:rPr>
        <w:t xml:space="preserve">Conjoncture à </w:t>
      </w:r>
      <w:r w:rsidR="008238B2">
        <w:rPr>
          <w:rFonts w:ascii="Arial" w:eastAsia="Times New Roman" w:hAnsi="Arial" w:cs="Arial"/>
          <w:b/>
          <w:sz w:val="36"/>
          <w:szCs w:val="36"/>
          <w:u w:val="single"/>
          <w:lang w:eastAsia="fr-FR"/>
        </w:rPr>
        <w:t>début mars</w:t>
      </w:r>
      <w:r w:rsidR="00FF7D82">
        <w:rPr>
          <w:rFonts w:ascii="Arial" w:eastAsia="Times New Roman" w:hAnsi="Arial" w:cs="Arial"/>
          <w:b/>
          <w:sz w:val="36"/>
          <w:szCs w:val="36"/>
          <w:u w:val="single"/>
          <w:lang w:eastAsia="fr-FR"/>
        </w:rPr>
        <w:t xml:space="preserve"> 2024</w:t>
      </w:r>
    </w:p>
    <w:p w14:paraId="25F57466" w14:textId="77777777" w:rsidR="00766988" w:rsidRPr="00766988" w:rsidRDefault="00766988" w:rsidP="00766988">
      <w:pPr>
        <w:spacing w:after="0" w:line="360" w:lineRule="auto"/>
        <w:jc w:val="both"/>
        <w:rPr>
          <w:rFonts w:ascii="Arial" w:eastAsia="Times New Roman" w:hAnsi="Arial" w:cs="Arial"/>
          <w:lang w:eastAsia="fr-FR"/>
        </w:rPr>
      </w:pPr>
    </w:p>
    <w:tbl>
      <w:tblPr>
        <w:tblStyle w:val="Grilledutableau"/>
        <w:tblW w:w="0" w:type="auto"/>
        <w:tblLook w:val="04A0" w:firstRow="1" w:lastRow="0" w:firstColumn="1" w:lastColumn="0" w:noHBand="0" w:noVBand="1"/>
      </w:tblPr>
      <w:tblGrid>
        <w:gridCol w:w="9062"/>
      </w:tblGrid>
      <w:tr w:rsidR="00EF01E5" w:rsidRPr="00144715" w14:paraId="50463381" w14:textId="77777777" w:rsidTr="00EF01E5">
        <w:tc>
          <w:tcPr>
            <w:tcW w:w="9062" w:type="dxa"/>
          </w:tcPr>
          <w:p w14:paraId="71B2E560" w14:textId="00548A60" w:rsidR="0045612D" w:rsidRPr="00144715" w:rsidRDefault="009C3C13" w:rsidP="0045612D">
            <w:pPr>
              <w:pBdr>
                <w:top w:val="single" w:sz="2" w:space="1" w:color="auto"/>
                <w:left w:val="single" w:sz="2" w:space="4" w:color="auto"/>
                <w:bottom w:val="single" w:sz="2" w:space="1" w:color="auto"/>
                <w:right w:val="single" w:sz="2" w:space="4" w:color="auto"/>
              </w:pBdr>
              <w:spacing w:line="312" w:lineRule="auto"/>
              <w:jc w:val="both"/>
              <w:rPr>
                <w:rFonts w:ascii="Arial" w:hAnsi="Arial" w:cs="Arial"/>
                <w:b/>
              </w:rPr>
            </w:pPr>
            <w:r w:rsidRPr="009248D2">
              <w:rPr>
                <w:rFonts w:ascii="Arial" w:hAnsi="Arial" w:cs="Arial"/>
                <w:b/>
              </w:rPr>
              <w:t>Le plongeon du logement neuf ne se modère pas</w:t>
            </w:r>
            <w:r w:rsidR="004409D9" w:rsidRPr="009248D2">
              <w:rPr>
                <w:rFonts w:ascii="Arial" w:hAnsi="Arial" w:cs="Arial"/>
                <w:b/>
              </w:rPr>
              <w:t xml:space="preserve">. </w:t>
            </w:r>
            <w:r w:rsidRPr="009248D2">
              <w:rPr>
                <w:rFonts w:ascii="Arial" w:hAnsi="Arial" w:cs="Arial"/>
                <w:b/>
              </w:rPr>
              <w:t>De fait</w:t>
            </w:r>
            <w:r w:rsidR="004409D9" w:rsidRPr="009248D2">
              <w:rPr>
                <w:rFonts w:ascii="Arial" w:hAnsi="Arial" w:cs="Arial"/>
                <w:b/>
              </w:rPr>
              <w:t xml:space="preserve">, en glissement annuel sur </w:t>
            </w:r>
            <w:r w:rsidR="000B72BB" w:rsidRPr="009248D2">
              <w:rPr>
                <w:rFonts w:ascii="Arial" w:hAnsi="Arial" w:cs="Arial"/>
                <w:b/>
              </w:rPr>
              <w:t>trois mois à fin janvier 2024</w:t>
            </w:r>
            <w:r w:rsidR="004409D9" w:rsidRPr="009248D2">
              <w:rPr>
                <w:rFonts w:ascii="Arial" w:hAnsi="Arial" w:cs="Arial"/>
                <w:b/>
              </w:rPr>
              <w:t xml:space="preserve">, </w:t>
            </w:r>
            <w:r w:rsidRPr="009248D2">
              <w:rPr>
                <w:rFonts w:ascii="Arial" w:hAnsi="Arial" w:cs="Arial"/>
                <w:b/>
              </w:rPr>
              <w:t xml:space="preserve">la chute des </w:t>
            </w:r>
            <w:r w:rsidR="004409D9" w:rsidRPr="009248D2">
              <w:rPr>
                <w:rFonts w:ascii="Arial" w:hAnsi="Arial" w:cs="Arial"/>
                <w:b/>
              </w:rPr>
              <w:t xml:space="preserve">mises en chantier </w:t>
            </w:r>
            <w:r w:rsidRPr="009248D2">
              <w:rPr>
                <w:rFonts w:ascii="Arial" w:hAnsi="Arial" w:cs="Arial"/>
                <w:b/>
              </w:rPr>
              <w:t>ressort à</w:t>
            </w:r>
            <w:r w:rsidR="004409D9" w:rsidRPr="009248D2">
              <w:rPr>
                <w:rFonts w:ascii="Arial" w:hAnsi="Arial" w:cs="Arial"/>
                <w:b/>
              </w:rPr>
              <w:t xml:space="preserve"> -</w:t>
            </w:r>
            <w:r w:rsidR="000B72BB" w:rsidRPr="009248D2">
              <w:rPr>
                <w:rFonts w:ascii="Arial" w:hAnsi="Arial" w:cs="Arial"/>
                <w:b/>
              </w:rPr>
              <w:t>23</w:t>
            </w:r>
            <w:r w:rsidR="004409D9" w:rsidRPr="009248D2">
              <w:rPr>
                <w:rFonts w:ascii="Arial" w:hAnsi="Arial" w:cs="Arial"/>
                <w:b/>
              </w:rPr>
              <w:t>,</w:t>
            </w:r>
            <w:r w:rsidR="000B72BB" w:rsidRPr="009248D2">
              <w:rPr>
                <w:rFonts w:ascii="Arial" w:hAnsi="Arial" w:cs="Arial"/>
                <w:b/>
              </w:rPr>
              <w:t>3</w:t>
            </w:r>
            <w:r w:rsidR="004409D9" w:rsidRPr="009248D2">
              <w:rPr>
                <w:rFonts w:ascii="Arial" w:hAnsi="Arial" w:cs="Arial"/>
                <w:b/>
              </w:rPr>
              <w:t> %</w:t>
            </w:r>
            <w:r w:rsidR="00647339" w:rsidRPr="009248D2">
              <w:rPr>
                <w:rFonts w:ascii="Arial" w:hAnsi="Arial" w:cs="Arial"/>
                <w:b/>
              </w:rPr>
              <w:t>. En revanche</w:t>
            </w:r>
            <w:r w:rsidR="004409D9" w:rsidRPr="009248D2">
              <w:rPr>
                <w:rFonts w:ascii="Arial" w:hAnsi="Arial" w:cs="Arial"/>
                <w:b/>
              </w:rPr>
              <w:t xml:space="preserve">, </w:t>
            </w:r>
            <w:r w:rsidR="00647339" w:rsidRPr="009248D2">
              <w:rPr>
                <w:rFonts w:ascii="Arial" w:hAnsi="Arial" w:cs="Arial"/>
                <w:b/>
              </w:rPr>
              <w:t>celle d</w:t>
            </w:r>
            <w:r w:rsidR="004409D9" w:rsidRPr="009248D2">
              <w:rPr>
                <w:rFonts w:ascii="Arial" w:hAnsi="Arial" w:cs="Arial"/>
                <w:b/>
              </w:rPr>
              <w:t xml:space="preserve">es autorisations </w:t>
            </w:r>
            <w:r w:rsidR="000B72BB" w:rsidRPr="009248D2">
              <w:rPr>
                <w:rFonts w:ascii="Arial" w:hAnsi="Arial" w:cs="Arial"/>
                <w:b/>
              </w:rPr>
              <w:t>se tasse</w:t>
            </w:r>
            <w:r w:rsidR="00647339" w:rsidRPr="009248D2">
              <w:rPr>
                <w:rFonts w:ascii="Arial" w:hAnsi="Arial" w:cs="Arial"/>
                <w:b/>
              </w:rPr>
              <w:t>,</w:t>
            </w:r>
            <w:r w:rsidR="004409D9" w:rsidRPr="009248D2">
              <w:rPr>
                <w:rFonts w:ascii="Arial" w:hAnsi="Arial" w:cs="Arial"/>
                <w:b/>
              </w:rPr>
              <w:t xml:space="preserve"> à </w:t>
            </w:r>
            <w:r w:rsidR="009972B3" w:rsidRPr="009248D2">
              <w:rPr>
                <w:rFonts w:ascii="Arial" w:hAnsi="Arial" w:cs="Arial"/>
                <w:b/>
              </w:rPr>
              <w:t>-</w:t>
            </w:r>
            <w:r w:rsidR="000B72BB" w:rsidRPr="009248D2">
              <w:rPr>
                <w:rFonts w:ascii="Arial" w:hAnsi="Arial" w:cs="Arial"/>
                <w:b/>
              </w:rPr>
              <w:t>2</w:t>
            </w:r>
            <w:r w:rsidR="004409D9" w:rsidRPr="009248D2">
              <w:rPr>
                <w:rFonts w:ascii="Arial" w:hAnsi="Arial" w:cs="Arial"/>
                <w:b/>
              </w:rPr>
              <w:t>,</w:t>
            </w:r>
            <w:r w:rsidR="000B72BB" w:rsidRPr="009248D2">
              <w:rPr>
                <w:rFonts w:ascii="Arial" w:hAnsi="Arial" w:cs="Arial"/>
                <w:b/>
              </w:rPr>
              <w:t>1</w:t>
            </w:r>
            <w:r w:rsidR="004409D9" w:rsidRPr="009248D2">
              <w:rPr>
                <w:rFonts w:ascii="Arial" w:hAnsi="Arial" w:cs="Arial"/>
                <w:b/>
              </w:rPr>
              <w:t> %</w:t>
            </w:r>
            <w:r w:rsidR="00647339" w:rsidRPr="009248D2">
              <w:rPr>
                <w:rFonts w:ascii="Arial" w:hAnsi="Arial" w:cs="Arial"/>
                <w:b/>
              </w:rPr>
              <w:t>, mais</w:t>
            </w:r>
            <w:r w:rsidR="004409D9" w:rsidRPr="009248D2">
              <w:rPr>
                <w:rFonts w:ascii="Arial" w:hAnsi="Arial" w:cs="Arial"/>
                <w:b/>
              </w:rPr>
              <w:t xml:space="preserve"> </w:t>
            </w:r>
            <w:r w:rsidR="00FE604A" w:rsidRPr="009248D2">
              <w:rPr>
                <w:rFonts w:ascii="Arial" w:hAnsi="Arial" w:cs="Arial"/>
                <w:b/>
              </w:rPr>
              <w:t xml:space="preserve">par un </w:t>
            </w:r>
            <w:r w:rsidR="004409D9" w:rsidRPr="009248D2">
              <w:rPr>
                <w:rFonts w:ascii="Arial" w:hAnsi="Arial" w:cs="Arial"/>
                <w:b/>
              </w:rPr>
              <w:t>pur effet de base</w:t>
            </w:r>
            <w:r w:rsidR="005C727B" w:rsidRPr="009248D2">
              <w:rPr>
                <w:rFonts w:ascii="Arial" w:hAnsi="Arial" w:cs="Arial"/>
                <w:b/>
              </w:rPr>
              <w:t xml:space="preserve"> pré</w:t>
            </w:r>
            <w:r w:rsidR="005C727B" w:rsidRPr="00144715">
              <w:rPr>
                <w:rFonts w:ascii="Arial" w:hAnsi="Arial" w:cs="Arial"/>
                <w:b/>
              </w:rPr>
              <w:t>-RE2020 sur les logements collectifs (+8,6 %)</w:t>
            </w:r>
            <w:r w:rsidR="004409D9" w:rsidRPr="00144715">
              <w:rPr>
                <w:rFonts w:ascii="Arial" w:hAnsi="Arial" w:cs="Arial"/>
                <w:b/>
              </w:rPr>
              <w:t xml:space="preserve">. </w:t>
            </w:r>
            <w:r w:rsidR="0045612D" w:rsidRPr="00144715">
              <w:rPr>
                <w:rFonts w:ascii="Arial" w:hAnsi="Arial" w:cs="Arial"/>
                <w:b/>
              </w:rPr>
              <w:t>Or, les perspectives restent très mauvaises, l</w:t>
            </w:r>
            <w:r w:rsidR="00647339" w:rsidRPr="00144715">
              <w:rPr>
                <w:rFonts w:ascii="Arial" w:hAnsi="Arial" w:cs="Arial"/>
                <w:b/>
              </w:rPr>
              <w:t>es ventes s’effondr</w:t>
            </w:r>
            <w:r w:rsidR="0045612D" w:rsidRPr="00144715">
              <w:rPr>
                <w:rFonts w:ascii="Arial" w:hAnsi="Arial" w:cs="Arial"/>
                <w:b/>
              </w:rPr>
              <w:t xml:space="preserve">ant </w:t>
            </w:r>
            <w:r w:rsidR="00647339" w:rsidRPr="00144715">
              <w:rPr>
                <w:rFonts w:ascii="Arial" w:hAnsi="Arial" w:cs="Arial"/>
                <w:b/>
              </w:rPr>
              <w:t>de</w:t>
            </w:r>
            <w:r w:rsidR="0045612D" w:rsidRPr="00144715">
              <w:rPr>
                <w:rFonts w:ascii="Arial" w:hAnsi="Arial" w:cs="Arial"/>
                <w:b/>
              </w:rPr>
              <w:t xml:space="preserve"> </w:t>
            </w:r>
            <w:r w:rsidR="009972B3" w:rsidRPr="00144715">
              <w:rPr>
                <w:rFonts w:ascii="Arial" w:hAnsi="Arial" w:cs="Arial"/>
                <w:b/>
              </w:rPr>
              <w:t>44</w:t>
            </w:r>
            <w:r w:rsidR="0045612D" w:rsidRPr="00144715">
              <w:rPr>
                <w:rFonts w:ascii="Arial" w:hAnsi="Arial" w:cs="Arial"/>
                <w:b/>
              </w:rPr>
              <w:t>,</w:t>
            </w:r>
            <w:r w:rsidR="004409D9" w:rsidRPr="00144715">
              <w:rPr>
                <w:rFonts w:ascii="Arial" w:hAnsi="Arial" w:cs="Arial"/>
                <w:b/>
              </w:rPr>
              <w:t>1</w:t>
            </w:r>
            <w:r w:rsidR="00DE1C3F" w:rsidRPr="00144715">
              <w:rPr>
                <w:rFonts w:ascii="Arial" w:hAnsi="Arial" w:cs="Arial"/>
                <w:b/>
              </w:rPr>
              <w:t> %</w:t>
            </w:r>
            <w:r w:rsidR="0045612D" w:rsidRPr="00144715">
              <w:rPr>
                <w:rFonts w:ascii="Arial" w:hAnsi="Arial" w:cs="Arial"/>
                <w:b/>
              </w:rPr>
              <w:t xml:space="preserve"> </w:t>
            </w:r>
            <w:r w:rsidR="004D33D8" w:rsidRPr="00144715">
              <w:rPr>
                <w:rFonts w:ascii="Arial" w:hAnsi="Arial" w:cs="Arial"/>
                <w:b/>
              </w:rPr>
              <w:t xml:space="preserve">dans l’individuel diffus </w:t>
            </w:r>
            <w:r w:rsidR="009972B3" w:rsidRPr="00144715">
              <w:rPr>
                <w:rFonts w:ascii="Arial" w:hAnsi="Arial" w:cs="Arial"/>
                <w:b/>
              </w:rPr>
              <w:t xml:space="preserve">sur la même période </w:t>
            </w:r>
            <w:r w:rsidR="0045612D" w:rsidRPr="00144715">
              <w:rPr>
                <w:rFonts w:ascii="Arial" w:hAnsi="Arial" w:cs="Arial"/>
                <w:b/>
              </w:rPr>
              <w:t xml:space="preserve">et </w:t>
            </w:r>
            <w:r w:rsidR="00647339" w:rsidRPr="00144715">
              <w:rPr>
                <w:rFonts w:ascii="Arial" w:hAnsi="Arial" w:cs="Arial"/>
                <w:b/>
              </w:rPr>
              <w:t xml:space="preserve">de </w:t>
            </w:r>
            <w:r w:rsidR="001E502B" w:rsidRPr="00144715">
              <w:rPr>
                <w:rFonts w:ascii="Arial" w:hAnsi="Arial" w:cs="Arial"/>
                <w:b/>
              </w:rPr>
              <w:t>2</w:t>
            </w:r>
            <w:r w:rsidR="009972B3" w:rsidRPr="00144715">
              <w:rPr>
                <w:rFonts w:ascii="Arial" w:hAnsi="Arial" w:cs="Arial"/>
                <w:b/>
              </w:rPr>
              <w:t>3</w:t>
            </w:r>
            <w:r w:rsidR="0045612D" w:rsidRPr="00144715">
              <w:rPr>
                <w:rFonts w:ascii="Arial" w:hAnsi="Arial" w:cs="Arial"/>
                <w:b/>
              </w:rPr>
              <w:t>,</w:t>
            </w:r>
            <w:r w:rsidR="001E502B" w:rsidRPr="00144715">
              <w:rPr>
                <w:rFonts w:ascii="Arial" w:hAnsi="Arial" w:cs="Arial"/>
                <w:b/>
              </w:rPr>
              <w:t>5</w:t>
            </w:r>
            <w:r w:rsidR="00DE1C3F" w:rsidRPr="00144715">
              <w:rPr>
                <w:rFonts w:ascii="Arial" w:hAnsi="Arial" w:cs="Arial"/>
                <w:b/>
              </w:rPr>
              <w:t> %</w:t>
            </w:r>
            <w:r w:rsidR="0045612D" w:rsidRPr="00144715">
              <w:rPr>
                <w:rFonts w:ascii="Arial" w:hAnsi="Arial" w:cs="Arial"/>
                <w:b/>
              </w:rPr>
              <w:t xml:space="preserve"> </w:t>
            </w:r>
            <w:r w:rsidR="004D33D8" w:rsidRPr="00144715">
              <w:rPr>
                <w:rFonts w:ascii="Arial" w:hAnsi="Arial" w:cs="Arial"/>
                <w:b/>
              </w:rPr>
              <w:t>dans</w:t>
            </w:r>
            <w:r w:rsidR="0045612D" w:rsidRPr="00144715">
              <w:rPr>
                <w:rFonts w:ascii="Arial" w:hAnsi="Arial" w:cs="Arial"/>
                <w:b/>
              </w:rPr>
              <w:t xml:space="preserve"> la promotion immobilière </w:t>
            </w:r>
            <w:r w:rsidR="00B53B6B" w:rsidRPr="00144715">
              <w:rPr>
                <w:rFonts w:ascii="Arial" w:hAnsi="Arial" w:cs="Arial"/>
                <w:b/>
              </w:rPr>
              <w:t>en</w:t>
            </w:r>
            <w:r w:rsidR="0045612D" w:rsidRPr="00144715">
              <w:rPr>
                <w:rFonts w:ascii="Arial" w:hAnsi="Arial" w:cs="Arial"/>
                <w:b/>
              </w:rPr>
              <w:t xml:space="preserve"> 2023.</w:t>
            </w:r>
            <w:r w:rsidR="004409D9" w:rsidRPr="00144715">
              <w:rPr>
                <w:rFonts w:ascii="Arial" w:hAnsi="Arial" w:cs="Arial"/>
                <w:b/>
              </w:rPr>
              <w:t xml:space="preserve"> D’ailleurs, les perspectives de mises en chantier exprimées par les promoteurs à fin janvier 2024 </w:t>
            </w:r>
            <w:r w:rsidR="00FE604A" w:rsidRPr="00144715">
              <w:rPr>
                <w:rFonts w:ascii="Arial" w:hAnsi="Arial" w:cs="Arial"/>
                <w:b/>
              </w:rPr>
              <w:t>se maintiennent</w:t>
            </w:r>
            <w:r w:rsidR="004409D9" w:rsidRPr="00144715">
              <w:rPr>
                <w:rFonts w:ascii="Arial" w:hAnsi="Arial" w:cs="Arial"/>
                <w:b/>
              </w:rPr>
              <w:t xml:space="preserve"> au plus bas.</w:t>
            </w:r>
          </w:p>
          <w:p w14:paraId="4C8A383E" w14:textId="1377BF27" w:rsidR="0061724C" w:rsidRPr="00144715" w:rsidRDefault="009248D2"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rPr>
            </w:pPr>
            <w:r>
              <w:rPr>
                <w:rFonts w:ascii="Arial" w:hAnsi="Arial" w:cs="Arial"/>
                <w:b/>
              </w:rPr>
              <w:t>La situation se dégrade dans le</w:t>
            </w:r>
            <w:r w:rsidR="00E30EAC" w:rsidRPr="009248D2">
              <w:rPr>
                <w:rFonts w:ascii="Arial" w:hAnsi="Arial" w:cs="Arial"/>
                <w:b/>
              </w:rPr>
              <w:t xml:space="preserve"> non résidentiel neuf.</w:t>
            </w:r>
            <w:r w:rsidR="00E30EAC">
              <w:rPr>
                <w:rFonts w:ascii="Arial" w:hAnsi="Arial" w:cs="Arial"/>
                <w:b/>
              </w:rPr>
              <w:t xml:space="preserve"> Ainsi, e</w:t>
            </w:r>
            <w:r w:rsidR="005C727B" w:rsidRPr="00144715">
              <w:rPr>
                <w:rFonts w:ascii="Arial" w:hAnsi="Arial" w:cs="Arial"/>
                <w:b/>
              </w:rPr>
              <w:t xml:space="preserve">n cumul de novembre 2023 à janvier 2024 par rapport à la même période un an auparavant, </w:t>
            </w:r>
            <w:r w:rsidR="008D33CE" w:rsidRPr="00144715">
              <w:rPr>
                <w:rFonts w:ascii="Arial" w:hAnsi="Arial" w:cs="Arial"/>
                <w:b/>
              </w:rPr>
              <w:t>les surfaces commencées de bâtiments non résidentiels abandonnent 11,2 %. Tous les segments participent de ce mouvement, hormis la commande publique (+10,3 %). Sur la même période, les surfaces autorisées chutent de 14,7 %, les bâtiments administratifs n’y échappant plus (-6,8 %)</w:t>
            </w:r>
            <w:r w:rsidR="00647339" w:rsidRPr="00144715">
              <w:rPr>
                <w:rFonts w:ascii="Arial" w:hAnsi="Arial" w:cs="Arial"/>
                <w:b/>
              </w:rPr>
              <w:t xml:space="preserve"> ce qui douche un peu l’optimisme des derniers mois sur ce segment.</w:t>
            </w:r>
          </w:p>
          <w:p w14:paraId="6D9C70E5" w14:textId="2961DB97" w:rsidR="0061724C" w:rsidRPr="00144715" w:rsidRDefault="00E30EAC"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rPr>
            </w:pPr>
            <w:r w:rsidRPr="009248D2">
              <w:rPr>
                <w:rFonts w:ascii="Arial" w:hAnsi="Arial" w:cs="Arial"/>
                <w:b/>
              </w:rPr>
              <w:t>Seule</w:t>
            </w:r>
            <w:r w:rsidR="0061724C" w:rsidRPr="009248D2">
              <w:rPr>
                <w:rFonts w:ascii="Arial" w:hAnsi="Arial" w:cs="Arial"/>
                <w:b/>
              </w:rPr>
              <w:t xml:space="preserve"> l’activité en amélioration-entretien</w:t>
            </w:r>
            <w:r w:rsidRPr="009248D2">
              <w:rPr>
                <w:rFonts w:ascii="Arial" w:hAnsi="Arial" w:cs="Arial"/>
                <w:b/>
              </w:rPr>
              <w:t xml:space="preserve"> progresse</w:t>
            </w:r>
            <w:r w:rsidR="0061724C" w:rsidRPr="00144715">
              <w:rPr>
                <w:rFonts w:ascii="Arial" w:hAnsi="Arial" w:cs="Arial"/>
                <w:b/>
              </w:rPr>
              <w:t xml:space="preserve">, </w:t>
            </w:r>
            <w:r w:rsidR="009248D2">
              <w:rPr>
                <w:rFonts w:ascii="Arial" w:hAnsi="Arial" w:cs="Arial"/>
                <w:b/>
              </w:rPr>
              <w:t xml:space="preserve">de </w:t>
            </w:r>
            <w:r w:rsidR="0061724C" w:rsidRPr="00144715">
              <w:rPr>
                <w:rFonts w:ascii="Arial" w:hAnsi="Arial" w:cs="Arial"/>
                <w:b/>
              </w:rPr>
              <w:t>2,</w:t>
            </w:r>
            <w:r w:rsidR="002260B4" w:rsidRPr="00144715">
              <w:rPr>
                <w:rFonts w:ascii="Arial" w:hAnsi="Arial" w:cs="Arial"/>
                <w:b/>
              </w:rPr>
              <w:t>3</w:t>
            </w:r>
            <w:r w:rsidR="0061724C" w:rsidRPr="00144715">
              <w:rPr>
                <w:rFonts w:ascii="Arial" w:hAnsi="Arial" w:cs="Arial"/>
                <w:b/>
              </w:rPr>
              <w:t> % à prix constants en 2023, avec un score similaire pour la rénovation énergétique</w:t>
            </w:r>
            <w:r w:rsidR="003672B1" w:rsidRPr="00144715">
              <w:rPr>
                <w:rFonts w:ascii="Arial" w:hAnsi="Arial" w:cs="Arial"/>
                <w:b/>
              </w:rPr>
              <w:t xml:space="preserve"> (+2,2 %)</w:t>
            </w:r>
            <w:r w:rsidR="0061724C" w:rsidRPr="00144715">
              <w:rPr>
                <w:rFonts w:ascii="Arial" w:hAnsi="Arial" w:cs="Arial"/>
                <w:b/>
              </w:rPr>
              <w:t xml:space="preserve">. Toutefois, on relève un </w:t>
            </w:r>
            <w:r w:rsidR="009248D2">
              <w:rPr>
                <w:rFonts w:ascii="Arial" w:hAnsi="Arial" w:cs="Arial"/>
                <w:b/>
              </w:rPr>
              <w:t>ta</w:t>
            </w:r>
            <w:r w:rsidR="0061724C" w:rsidRPr="00144715">
              <w:rPr>
                <w:rFonts w:ascii="Arial" w:hAnsi="Arial" w:cs="Arial"/>
                <w:b/>
              </w:rPr>
              <w:t xml:space="preserve">ssement </w:t>
            </w:r>
            <w:r w:rsidR="00647339" w:rsidRPr="00144715">
              <w:rPr>
                <w:rFonts w:ascii="Arial" w:hAnsi="Arial" w:cs="Arial"/>
                <w:b/>
              </w:rPr>
              <w:t>récent</w:t>
            </w:r>
            <w:r w:rsidR="009248D2">
              <w:rPr>
                <w:rFonts w:ascii="Arial" w:hAnsi="Arial" w:cs="Arial"/>
                <w:b/>
              </w:rPr>
              <w:t>,</w:t>
            </w:r>
            <w:r w:rsidR="00647339" w:rsidRPr="00144715">
              <w:rPr>
                <w:rFonts w:ascii="Arial" w:hAnsi="Arial" w:cs="Arial"/>
                <w:b/>
              </w:rPr>
              <w:t xml:space="preserve"> avec +2,6 % sur un an au</w:t>
            </w:r>
            <w:r w:rsidR="0061724C" w:rsidRPr="00144715">
              <w:rPr>
                <w:rFonts w:ascii="Arial" w:hAnsi="Arial" w:cs="Arial"/>
                <w:b/>
              </w:rPr>
              <w:t xml:space="preserve"> quatrième trimestre 2023,</w:t>
            </w:r>
            <w:r w:rsidR="00D109EA">
              <w:rPr>
                <w:rFonts w:ascii="Arial" w:hAnsi="Arial" w:cs="Arial"/>
                <w:b/>
              </w:rPr>
              <w:t xml:space="preserve"> </w:t>
            </w:r>
            <w:r w:rsidR="00647339" w:rsidRPr="00144715">
              <w:rPr>
                <w:rFonts w:ascii="Arial" w:hAnsi="Arial" w:cs="Arial"/>
                <w:b/>
              </w:rPr>
              <w:t xml:space="preserve">après </w:t>
            </w:r>
            <w:r w:rsidR="0061724C" w:rsidRPr="00144715">
              <w:rPr>
                <w:rFonts w:ascii="Arial" w:hAnsi="Arial" w:cs="Arial"/>
                <w:b/>
              </w:rPr>
              <w:t>+3,0 %</w:t>
            </w:r>
            <w:r w:rsidR="00647339" w:rsidRPr="00144715">
              <w:rPr>
                <w:rFonts w:ascii="Arial" w:hAnsi="Arial" w:cs="Arial"/>
                <w:b/>
              </w:rPr>
              <w:t xml:space="preserve"> au troisième</w:t>
            </w:r>
            <w:r w:rsidR="000A4FB8">
              <w:rPr>
                <w:rFonts w:ascii="Arial" w:hAnsi="Arial" w:cs="Arial"/>
                <w:b/>
              </w:rPr>
              <w:t xml:space="preserve"> trimestre</w:t>
            </w:r>
            <w:r w:rsidR="0061724C" w:rsidRPr="00144715">
              <w:rPr>
                <w:rFonts w:ascii="Arial" w:hAnsi="Arial" w:cs="Arial"/>
                <w:b/>
              </w:rPr>
              <w:t xml:space="preserve">, du fait d’un net </w:t>
            </w:r>
            <w:r w:rsidR="009248D2">
              <w:rPr>
                <w:rFonts w:ascii="Arial" w:hAnsi="Arial" w:cs="Arial"/>
                <w:b/>
              </w:rPr>
              <w:t>ralenti</w:t>
            </w:r>
            <w:r w:rsidR="0061724C" w:rsidRPr="00144715">
              <w:rPr>
                <w:rFonts w:ascii="Arial" w:hAnsi="Arial" w:cs="Arial"/>
                <w:b/>
              </w:rPr>
              <w:t>ssement à +</w:t>
            </w:r>
            <w:r w:rsidR="002260B4" w:rsidRPr="00144715">
              <w:rPr>
                <w:rFonts w:ascii="Arial" w:hAnsi="Arial" w:cs="Arial"/>
                <w:b/>
              </w:rPr>
              <w:t>2</w:t>
            </w:r>
            <w:r w:rsidR="0061724C" w:rsidRPr="00144715">
              <w:rPr>
                <w:rFonts w:ascii="Arial" w:hAnsi="Arial" w:cs="Arial"/>
                <w:b/>
              </w:rPr>
              <w:t>,</w:t>
            </w:r>
            <w:r w:rsidR="002260B4" w:rsidRPr="00144715">
              <w:rPr>
                <w:rFonts w:ascii="Arial" w:hAnsi="Arial" w:cs="Arial"/>
                <w:b/>
              </w:rPr>
              <w:t>2</w:t>
            </w:r>
            <w:r w:rsidR="0061724C" w:rsidRPr="00144715">
              <w:rPr>
                <w:rFonts w:ascii="Arial" w:hAnsi="Arial" w:cs="Arial"/>
                <w:b/>
              </w:rPr>
              <w:t xml:space="preserve"> % de la rénovation énergétique. Pour autant, les perspectives à l’horizon du printemps 2024 restent bien orientées, </w:t>
            </w:r>
            <w:r w:rsidR="00647339" w:rsidRPr="00144715">
              <w:rPr>
                <w:rFonts w:ascii="Arial" w:hAnsi="Arial" w:cs="Arial"/>
                <w:b/>
              </w:rPr>
              <w:t xml:space="preserve">avec une </w:t>
            </w:r>
            <w:r w:rsidR="0061724C" w:rsidRPr="00144715">
              <w:rPr>
                <w:rFonts w:ascii="Arial" w:hAnsi="Arial" w:cs="Arial"/>
                <w:b/>
              </w:rPr>
              <w:t xml:space="preserve">activité </w:t>
            </w:r>
            <w:r w:rsidR="009248D2">
              <w:rPr>
                <w:rFonts w:ascii="Arial" w:hAnsi="Arial" w:cs="Arial"/>
                <w:b/>
              </w:rPr>
              <w:t xml:space="preserve">attendue en hausse de </w:t>
            </w:r>
            <w:r w:rsidR="0061724C" w:rsidRPr="00144715">
              <w:rPr>
                <w:rFonts w:ascii="Arial" w:hAnsi="Arial" w:cs="Arial"/>
                <w:b/>
              </w:rPr>
              <w:t xml:space="preserve">2,0 % </w:t>
            </w:r>
            <w:r w:rsidR="009248D2">
              <w:rPr>
                <w:rFonts w:ascii="Arial" w:hAnsi="Arial" w:cs="Arial"/>
                <w:b/>
              </w:rPr>
              <w:t xml:space="preserve">à </w:t>
            </w:r>
            <w:r w:rsidR="0061724C" w:rsidRPr="00144715">
              <w:rPr>
                <w:rFonts w:ascii="Arial" w:hAnsi="Arial" w:cs="Arial"/>
                <w:b/>
              </w:rPr>
              <w:t>3,0 % en volume sur un an</w:t>
            </w:r>
            <w:r w:rsidR="00647339" w:rsidRPr="00144715">
              <w:rPr>
                <w:rFonts w:ascii="Arial" w:hAnsi="Arial" w:cs="Arial"/>
                <w:b/>
              </w:rPr>
              <w:t xml:space="preserve"> selon l’étude du réseau des C</w:t>
            </w:r>
            <w:r w:rsidR="00B01BC9">
              <w:rPr>
                <w:rFonts w:ascii="Arial" w:hAnsi="Arial" w:cs="Arial"/>
                <w:b/>
              </w:rPr>
              <w:t>erc</w:t>
            </w:r>
            <w:r w:rsidR="0061724C" w:rsidRPr="00144715">
              <w:rPr>
                <w:rFonts w:ascii="Arial" w:hAnsi="Arial" w:cs="Arial"/>
                <w:b/>
              </w:rPr>
              <w:t>.</w:t>
            </w:r>
          </w:p>
          <w:p w14:paraId="248D7925" w14:textId="77777777" w:rsidR="004A4B38" w:rsidRDefault="004A4B38"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bCs/>
              </w:rPr>
            </w:pPr>
          </w:p>
          <w:p w14:paraId="25A4013F" w14:textId="28244555" w:rsidR="0061724C" w:rsidRPr="00144715" w:rsidRDefault="0061724C"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bCs/>
              </w:rPr>
            </w:pPr>
            <w:r w:rsidRPr="00144715">
              <w:rPr>
                <w:rFonts w:ascii="Arial" w:hAnsi="Arial" w:cs="Arial"/>
                <w:b/>
                <w:bCs/>
              </w:rPr>
              <w:t>D</w:t>
            </w:r>
            <w:r w:rsidR="00647339" w:rsidRPr="00144715">
              <w:rPr>
                <w:rFonts w:ascii="Arial" w:hAnsi="Arial" w:cs="Arial"/>
                <w:b/>
                <w:bCs/>
              </w:rPr>
              <w:t>ans ce contexte</w:t>
            </w:r>
            <w:r w:rsidRPr="00144715">
              <w:rPr>
                <w:rFonts w:ascii="Arial" w:hAnsi="Arial" w:cs="Arial"/>
                <w:b/>
                <w:bCs/>
              </w:rPr>
              <w:t>,</w:t>
            </w:r>
            <w:r w:rsidR="00A756F6" w:rsidRPr="00144715">
              <w:rPr>
                <w:rFonts w:ascii="Arial" w:hAnsi="Arial" w:cs="Arial"/>
                <w:b/>
                <w:bCs/>
              </w:rPr>
              <w:t xml:space="preserve"> le bâtiment </w:t>
            </w:r>
            <w:r w:rsidR="0075509E" w:rsidRPr="00144715">
              <w:rPr>
                <w:rFonts w:ascii="Arial" w:hAnsi="Arial" w:cs="Arial"/>
                <w:b/>
                <w:bCs/>
              </w:rPr>
              <w:t>a</w:t>
            </w:r>
            <w:r w:rsidR="00A756F6" w:rsidRPr="00144715">
              <w:rPr>
                <w:rFonts w:ascii="Arial" w:hAnsi="Arial" w:cs="Arial"/>
                <w:b/>
                <w:bCs/>
              </w:rPr>
              <w:t xml:space="preserve"> perdu 3</w:t>
            </w:r>
            <w:r w:rsidR="00C45093" w:rsidRPr="00144715">
              <w:rPr>
                <w:rFonts w:ascii="Arial" w:hAnsi="Arial" w:cs="Arial"/>
                <w:b/>
                <w:bCs/>
              </w:rPr>
              <w:t> </w:t>
            </w:r>
            <w:r w:rsidR="00A756F6" w:rsidRPr="00144715">
              <w:rPr>
                <w:rFonts w:ascii="Arial" w:hAnsi="Arial" w:cs="Arial"/>
                <w:b/>
                <w:bCs/>
              </w:rPr>
              <w:t>300 postes</w:t>
            </w:r>
            <w:r w:rsidR="00A55C75" w:rsidRPr="00144715">
              <w:rPr>
                <w:rFonts w:ascii="Arial" w:hAnsi="Arial" w:cs="Arial"/>
                <w:b/>
                <w:bCs/>
              </w:rPr>
              <w:t xml:space="preserve"> en 2023</w:t>
            </w:r>
            <w:r w:rsidR="00A756F6" w:rsidRPr="00144715">
              <w:rPr>
                <w:rFonts w:ascii="Arial" w:hAnsi="Arial" w:cs="Arial"/>
                <w:b/>
                <w:bCs/>
              </w:rPr>
              <w:t>, dont 1</w:t>
            </w:r>
            <w:r w:rsidR="00C45093" w:rsidRPr="00144715">
              <w:rPr>
                <w:rFonts w:ascii="Arial" w:hAnsi="Arial" w:cs="Arial"/>
                <w:b/>
                <w:bCs/>
              </w:rPr>
              <w:t> </w:t>
            </w:r>
            <w:r w:rsidR="00A756F6" w:rsidRPr="00144715">
              <w:rPr>
                <w:rFonts w:ascii="Arial" w:hAnsi="Arial" w:cs="Arial"/>
                <w:b/>
                <w:bCs/>
              </w:rPr>
              <w:t>900 salariés.</w:t>
            </w:r>
            <w:r w:rsidR="00A756F6" w:rsidRPr="00144715">
              <w:t xml:space="preserve"> </w:t>
            </w:r>
            <w:r w:rsidR="00C45093" w:rsidRPr="00144715">
              <w:rPr>
                <w:rFonts w:ascii="Arial" w:hAnsi="Arial" w:cs="Arial"/>
                <w:b/>
                <w:bCs/>
              </w:rPr>
              <w:t xml:space="preserve">Et le mouvement s’accélère puisqu’entre </w:t>
            </w:r>
            <w:r w:rsidR="00A756F6" w:rsidRPr="00144715">
              <w:rPr>
                <w:rFonts w:ascii="Arial" w:hAnsi="Arial" w:cs="Arial"/>
                <w:b/>
                <w:bCs/>
              </w:rPr>
              <w:t xml:space="preserve">les </w:t>
            </w:r>
            <w:r w:rsidR="00C45093" w:rsidRPr="00144715">
              <w:rPr>
                <w:rFonts w:ascii="Arial" w:hAnsi="Arial" w:cs="Arial"/>
                <w:b/>
                <w:bCs/>
              </w:rPr>
              <w:t xml:space="preserve">seuls </w:t>
            </w:r>
            <w:r w:rsidR="00A756F6" w:rsidRPr="00144715">
              <w:rPr>
                <w:rFonts w:ascii="Arial" w:hAnsi="Arial" w:cs="Arial"/>
                <w:b/>
                <w:bCs/>
              </w:rPr>
              <w:t xml:space="preserve">quatrièmes trimestres 2022 et 2023, le recul </w:t>
            </w:r>
            <w:r w:rsidR="00C45093" w:rsidRPr="00144715">
              <w:rPr>
                <w:rFonts w:ascii="Arial" w:hAnsi="Arial" w:cs="Arial"/>
                <w:b/>
                <w:bCs/>
              </w:rPr>
              <w:t xml:space="preserve">atteint </w:t>
            </w:r>
            <w:r w:rsidR="00A756F6" w:rsidRPr="00144715">
              <w:rPr>
                <w:rFonts w:ascii="Arial" w:hAnsi="Arial" w:cs="Arial"/>
                <w:b/>
                <w:bCs/>
              </w:rPr>
              <w:t>13</w:t>
            </w:r>
            <w:r w:rsidR="00C45093" w:rsidRPr="00144715">
              <w:rPr>
                <w:rFonts w:ascii="Arial" w:hAnsi="Arial" w:cs="Arial"/>
                <w:b/>
                <w:bCs/>
              </w:rPr>
              <w:t> </w:t>
            </w:r>
            <w:r w:rsidR="0075509E" w:rsidRPr="00144715">
              <w:rPr>
                <w:rFonts w:ascii="Arial" w:hAnsi="Arial" w:cs="Arial"/>
                <w:b/>
                <w:bCs/>
              </w:rPr>
              <w:t>3</w:t>
            </w:r>
            <w:r w:rsidR="00A756F6" w:rsidRPr="00144715">
              <w:rPr>
                <w:rFonts w:ascii="Arial" w:hAnsi="Arial" w:cs="Arial"/>
                <w:b/>
                <w:bCs/>
              </w:rPr>
              <w:t xml:space="preserve">00 </w:t>
            </w:r>
            <w:r w:rsidR="00C45093" w:rsidRPr="00144715">
              <w:rPr>
                <w:rFonts w:ascii="Arial" w:hAnsi="Arial" w:cs="Arial"/>
                <w:b/>
                <w:bCs/>
              </w:rPr>
              <w:t>postes</w:t>
            </w:r>
            <w:r w:rsidR="00A756F6" w:rsidRPr="00144715">
              <w:rPr>
                <w:rFonts w:ascii="Arial" w:hAnsi="Arial" w:cs="Arial"/>
                <w:b/>
                <w:bCs/>
              </w:rPr>
              <w:t>. À l’horizon du printemps, les perspectives d’emploi salarié continuent de se tasser chez les entreprises de plus de dix salariés.</w:t>
            </w:r>
          </w:p>
          <w:p w14:paraId="5EF39807" w14:textId="77777777" w:rsidR="00920F4F" w:rsidRDefault="00920F4F"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bCs/>
              </w:rPr>
            </w:pPr>
          </w:p>
          <w:p w14:paraId="4AA25290" w14:textId="3351DA7D" w:rsidR="00572051" w:rsidRPr="00144715" w:rsidRDefault="0061724C" w:rsidP="0061724C">
            <w:pPr>
              <w:pBdr>
                <w:top w:val="single" w:sz="2" w:space="1" w:color="auto"/>
                <w:left w:val="single" w:sz="2" w:space="4" w:color="auto"/>
                <w:bottom w:val="single" w:sz="2" w:space="1" w:color="auto"/>
                <w:right w:val="single" w:sz="2" w:space="4" w:color="auto"/>
              </w:pBdr>
              <w:spacing w:line="312" w:lineRule="auto"/>
              <w:jc w:val="both"/>
              <w:rPr>
                <w:rFonts w:ascii="Arial" w:hAnsi="Arial" w:cs="Arial"/>
                <w:b/>
                <w:bCs/>
              </w:rPr>
            </w:pPr>
            <w:r w:rsidRPr="00144715">
              <w:rPr>
                <w:rFonts w:ascii="Arial" w:hAnsi="Arial" w:cs="Arial"/>
                <w:b/>
                <w:bCs/>
              </w:rPr>
              <w:t>Enfin, au quatrième trimestre 2023, les trésoreries des entreprises de plus de dix salariés se li</w:t>
            </w:r>
            <w:r w:rsidR="00144715" w:rsidRPr="00144715">
              <w:rPr>
                <w:rFonts w:ascii="Arial" w:hAnsi="Arial" w:cs="Arial"/>
                <w:b/>
                <w:bCs/>
              </w:rPr>
              <w:t>sent</w:t>
            </w:r>
            <w:r w:rsidRPr="00144715">
              <w:rPr>
                <w:rFonts w:ascii="Arial" w:hAnsi="Arial" w:cs="Arial"/>
                <w:b/>
                <w:bCs/>
              </w:rPr>
              <w:t xml:space="preserve"> un peu au-dessus de leur moyenne historique. </w:t>
            </w:r>
            <w:r w:rsidR="00A73E24">
              <w:rPr>
                <w:rFonts w:ascii="Arial" w:hAnsi="Arial" w:cs="Arial"/>
                <w:b/>
                <w:bCs/>
              </w:rPr>
              <w:t>Cela tient sans doute au moins pour partie à la</w:t>
            </w:r>
            <w:r w:rsidR="00A73E24" w:rsidRPr="00144715">
              <w:rPr>
                <w:rFonts w:ascii="Arial" w:hAnsi="Arial" w:cs="Arial"/>
                <w:b/>
                <w:bCs/>
              </w:rPr>
              <w:t xml:space="preserve"> réduction des délais de paiement clients </w:t>
            </w:r>
            <w:r w:rsidR="00A73E24">
              <w:rPr>
                <w:rFonts w:ascii="Arial" w:hAnsi="Arial" w:cs="Arial"/>
                <w:b/>
                <w:bCs/>
              </w:rPr>
              <w:t>relevée</w:t>
            </w:r>
            <w:r w:rsidR="00A73E24" w:rsidRPr="00144715">
              <w:rPr>
                <w:rFonts w:ascii="Arial" w:hAnsi="Arial" w:cs="Arial"/>
                <w:b/>
                <w:bCs/>
              </w:rPr>
              <w:t>, tant pour les marchés privés que publics</w:t>
            </w:r>
            <w:r w:rsidR="00A73E24">
              <w:rPr>
                <w:rFonts w:ascii="Arial" w:hAnsi="Arial" w:cs="Arial"/>
                <w:b/>
                <w:bCs/>
              </w:rPr>
              <w:t>, a</w:t>
            </w:r>
            <w:r w:rsidR="00144715" w:rsidRPr="00144715">
              <w:rPr>
                <w:rFonts w:ascii="Arial" w:hAnsi="Arial" w:cs="Arial"/>
                <w:b/>
                <w:bCs/>
              </w:rPr>
              <w:t xml:space="preserve">près l’envolée du </w:t>
            </w:r>
            <w:r w:rsidR="00844C5D">
              <w:rPr>
                <w:rFonts w:ascii="Arial" w:hAnsi="Arial" w:cs="Arial"/>
                <w:b/>
                <w:bCs/>
              </w:rPr>
              <w:t>milieu d’année</w:t>
            </w:r>
            <w:r w:rsidR="00144715" w:rsidRPr="00144715">
              <w:rPr>
                <w:rFonts w:ascii="Arial" w:hAnsi="Arial" w:cs="Arial"/>
                <w:b/>
                <w:bCs/>
              </w:rPr>
              <w:t xml:space="preserve"> 2023</w:t>
            </w:r>
            <w:r w:rsidRPr="00144715">
              <w:rPr>
                <w:rFonts w:ascii="Arial" w:hAnsi="Arial" w:cs="Arial"/>
                <w:b/>
                <w:bCs/>
              </w:rPr>
              <w:t>.</w:t>
            </w:r>
            <w:r w:rsidR="0075509E" w:rsidRPr="00144715">
              <w:rPr>
                <w:rFonts w:ascii="Arial" w:hAnsi="Arial" w:cs="Arial"/>
                <w:b/>
                <w:bCs/>
              </w:rPr>
              <w:t xml:space="preserve"> </w:t>
            </w:r>
            <w:r w:rsidR="00C54398" w:rsidRPr="00144715">
              <w:rPr>
                <w:rFonts w:ascii="Arial" w:hAnsi="Arial" w:cs="Arial"/>
                <w:b/>
                <w:bCs/>
              </w:rPr>
              <w:t xml:space="preserve">En outre, le taux de marge opérationnelle se stabilise quasiment dans la construction sur l’ensemble de 2023. En revanche, les défaillances dans le bâtiment s’envolent </w:t>
            </w:r>
            <w:r w:rsidR="00144715" w:rsidRPr="00144715">
              <w:rPr>
                <w:rFonts w:ascii="Arial" w:hAnsi="Arial" w:cs="Arial"/>
                <w:b/>
                <w:bCs/>
              </w:rPr>
              <w:t>de</w:t>
            </w:r>
            <w:r w:rsidR="00C54398" w:rsidRPr="00144715">
              <w:rPr>
                <w:rFonts w:ascii="Arial" w:hAnsi="Arial" w:cs="Arial"/>
                <w:b/>
                <w:bCs/>
              </w:rPr>
              <w:t xml:space="preserve"> plus de 30 % sur les trois derniers mois par rapport à leur niveau d’</w:t>
            </w:r>
            <w:proofErr w:type="spellStart"/>
            <w:r w:rsidR="00C54398" w:rsidRPr="00144715">
              <w:rPr>
                <w:rFonts w:ascii="Arial" w:hAnsi="Arial" w:cs="Arial"/>
                <w:b/>
                <w:bCs/>
              </w:rPr>
              <w:t>avant-crise</w:t>
            </w:r>
            <w:proofErr w:type="spellEnd"/>
            <w:r w:rsidR="00C54398" w:rsidRPr="00144715">
              <w:rPr>
                <w:rFonts w:ascii="Arial" w:hAnsi="Arial" w:cs="Arial"/>
                <w:b/>
                <w:bCs/>
              </w:rPr>
              <w:t xml:space="preserve"> sanitaire</w:t>
            </w:r>
            <w:r w:rsidR="001672B0" w:rsidRPr="00144715">
              <w:rPr>
                <w:rFonts w:ascii="Arial" w:hAnsi="Arial" w:cs="Arial"/>
                <w:b/>
                <w:bCs/>
              </w:rPr>
              <w:t xml:space="preserve">, ce qui </w:t>
            </w:r>
            <w:r w:rsidR="00A73E24">
              <w:rPr>
                <w:rFonts w:ascii="Arial" w:hAnsi="Arial" w:cs="Arial"/>
                <w:b/>
                <w:bCs/>
              </w:rPr>
              <w:t>confirme l’entrée en récession</w:t>
            </w:r>
            <w:r w:rsidR="00C54398" w:rsidRPr="00144715">
              <w:rPr>
                <w:rFonts w:ascii="Arial" w:hAnsi="Arial" w:cs="Arial"/>
                <w:b/>
                <w:bCs/>
              </w:rPr>
              <w:t>.</w:t>
            </w:r>
          </w:p>
        </w:tc>
      </w:tr>
    </w:tbl>
    <w:p w14:paraId="13145FCB" w14:textId="36A80FD2" w:rsidR="00E06CF6" w:rsidRPr="00144715" w:rsidRDefault="004A4B38" w:rsidP="00493FB1">
      <w:pPr>
        <w:rPr>
          <w:rFonts w:ascii="Arial" w:hAnsi="Arial" w:cs="Arial"/>
          <w:b/>
          <w:sz w:val="28"/>
          <w:szCs w:val="28"/>
          <w:u w:val="single"/>
        </w:rPr>
      </w:pPr>
      <w:r>
        <w:rPr>
          <w:rFonts w:ascii="Arial" w:hAnsi="Arial" w:cs="Arial"/>
          <w:b/>
          <w:sz w:val="28"/>
          <w:szCs w:val="28"/>
          <w:u w:val="single"/>
        </w:rPr>
        <w:br w:type="page"/>
      </w:r>
      <w:r w:rsidR="00E06CF6" w:rsidRPr="00144715">
        <w:rPr>
          <w:rFonts w:ascii="Arial" w:hAnsi="Arial" w:cs="Arial"/>
          <w:b/>
          <w:sz w:val="28"/>
          <w:szCs w:val="28"/>
          <w:u w:val="single"/>
        </w:rPr>
        <w:lastRenderedPageBreak/>
        <w:t xml:space="preserve">1. </w:t>
      </w:r>
      <w:r w:rsidR="00C10324" w:rsidRPr="00144715">
        <w:rPr>
          <w:rFonts w:ascii="Arial" w:hAnsi="Arial" w:cs="Arial"/>
          <w:b/>
          <w:sz w:val="28"/>
          <w:szCs w:val="28"/>
          <w:u w:val="single"/>
        </w:rPr>
        <w:t>Le contexte macroéconomique et macrofinancier</w:t>
      </w:r>
    </w:p>
    <w:p w14:paraId="1C5908C8" w14:textId="461062AB" w:rsidR="00EC1985" w:rsidRPr="00964CCB" w:rsidRDefault="00EC1985" w:rsidP="00710A64">
      <w:pPr>
        <w:spacing w:after="120" w:line="360" w:lineRule="auto"/>
        <w:jc w:val="both"/>
        <w:rPr>
          <w:rFonts w:ascii="Arial" w:hAnsi="Arial" w:cs="Arial"/>
        </w:rPr>
      </w:pPr>
      <w:r w:rsidRPr="00144715">
        <w:rPr>
          <w:rFonts w:ascii="Arial" w:hAnsi="Arial" w:cs="Arial"/>
        </w:rPr>
        <w:t xml:space="preserve">En 2023, la croissance économique française décélère à +0,9 % en volume. Elle </w:t>
      </w:r>
      <w:r w:rsidR="00A73E24">
        <w:rPr>
          <w:rFonts w:ascii="Arial" w:hAnsi="Arial" w:cs="Arial"/>
        </w:rPr>
        <w:t>s’avère</w:t>
      </w:r>
      <w:r w:rsidR="00A73E24" w:rsidRPr="00144715">
        <w:rPr>
          <w:rFonts w:ascii="Arial" w:hAnsi="Arial" w:cs="Arial"/>
        </w:rPr>
        <w:t xml:space="preserve"> </w:t>
      </w:r>
      <w:r w:rsidR="00A73E24">
        <w:rPr>
          <w:rFonts w:ascii="Arial" w:hAnsi="Arial" w:cs="Arial"/>
        </w:rPr>
        <w:t xml:space="preserve">avant tout </w:t>
      </w:r>
      <w:r w:rsidRPr="00144715">
        <w:rPr>
          <w:rFonts w:ascii="Arial" w:hAnsi="Arial" w:cs="Arial"/>
        </w:rPr>
        <w:t xml:space="preserve">portée </w:t>
      </w:r>
      <w:r w:rsidR="001F6D6F" w:rsidRPr="00144715">
        <w:rPr>
          <w:rFonts w:ascii="Arial" w:hAnsi="Arial" w:cs="Arial"/>
        </w:rPr>
        <w:t xml:space="preserve">par </w:t>
      </w:r>
      <w:r w:rsidR="00A73E24">
        <w:rPr>
          <w:rFonts w:ascii="Arial" w:hAnsi="Arial" w:cs="Arial"/>
        </w:rPr>
        <w:t>la</w:t>
      </w:r>
      <w:r w:rsidR="001F6D6F" w:rsidRPr="00144715">
        <w:rPr>
          <w:rFonts w:ascii="Arial" w:hAnsi="Arial" w:cs="Arial"/>
        </w:rPr>
        <w:t xml:space="preserve"> progression soutenue de l’investissement du secteur public et des entreprises</w:t>
      </w:r>
      <w:r w:rsidR="00A73E24">
        <w:rPr>
          <w:rStyle w:val="Appelnotedebasdep"/>
          <w:rFonts w:ascii="Arial" w:hAnsi="Arial" w:cs="Arial"/>
        </w:rPr>
        <w:footnoteReference w:id="2"/>
      </w:r>
      <w:r w:rsidR="001F6D6F" w:rsidRPr="00144715">
        <w:rPr>
          <w:rFonts w:ascii="Arial" w:hAnsi="Arial" w:cs="Arial"/>
        </w:rPr>
        <w:t xml:space="preserve"> (+4,</w:t>
      </w:r>
      <w:r w:rsidR="00964CCB" w:rsidRPr="00144715">
        <w:rPr>
          <w:rFonts w:ascii="Arial" w:hAnsi="Arial" w:cs="Arial"/>
        </w:rPr>
        <w:t>5</w:t>
      </w:r>
      <w:r w:rsidR="001F6D6F" w:rsidRPr="00144715">
        <w:rPr>
          <w:rFonts w:ascii="Arial" w:hAnsi="Arial" w:cs="Arial"/>
        </w:rPr>
        <w:t> % et +2,</w:t>
      </w:r>
      <w:r w:rsidR="00964CCB" w:rsidRPr="00144715">
        <w:rPr>
          <w:rFonts w:ascii="Arial" w:hAnsi="Arial" w:cs="Arial"/>
        </w:rPr>
        <w:t>7</w:t>
      </w:r>
      <w:r w:rsidR="001F6D6F" w:rsidRPr="00144715">
        <w:rPr>
          <w:rFonts w:ascii="Arial" w:hAnsi="Arial" w:cs="Arial"/>
        </w:rPr>
        <w:t> %), mais également par</w:t>
      </w:r>
      <w:r w:rsidRPr="00144715">
        <w:rPr>
          <w:rFonts w:ascii="Arial" w:hAnsi="Arial" w:cs="Arial"/>
        </w:rPr>
        <w:t xml:space="preserve"> un solde du commerce extérieur bien orienté, avec des exportations en hausse de 1,5 % alors que les importations </w:t>
      </w:r>
      <w:r w:rsidR="00964CCB" w:rsidRPr="00144715">
        <w:rPr>
          <w:rFonts w:ascii="Arial" w:hAnsi="Arial" w:cs="Arial"/>
        </w:rPr>
        <w:t>s’érodent</w:t>
      </w:r>
      <w:r w:rsidRPr="00144715">
        <w:rPr>
          <w:rFonts w:ascii="Arial" w:hAnsi="Arial" w:cs="Arial"/>
        </w:rPr>
        <w:t xml:space="preserve"> de 0,</w:t>
      </w:r>
      <w:r w:rsidR="00964CCB" w:rsidRPr="00144715">
        <w:rPr>
          <w:rFonts w:ascii="Arial" w:hAnsi="Arial" w:cs="Arial"/>
        </w:rPr>
        <w:t>1</w:t>
      </w:r>
      <w:r w:rsidRPr="00144715">
        <w:rPr>
          <w:rFonts w:ascii="Arial" w:hAnsi="Arial" w:cs="Arial"/>
        </w:rPr>
        <w:t> %</w:t>
      </w:r>
      <w:r w:rsidR="001F6D6F" w:rsidRPr="00144715">
        <w:rPr>
          <w:rFonts w:ascii="Arial" w:hAnsi="Arial" w:cs="Arial"/>
        </w:rPr>
        <w:t>.</w:t>
      </w:r>
      <w:r w:rsidR="00710A64" w:rsidRPr="00144715">
        <w:rPr>
          <w:rFonts w:ascii="Arial" w:hAnsi="Arial" w:cs="Arial"/>
        </w:rPr>
        <w:t xml:space="preserve"> L’investissement total ralentit toutefois, à +1,</w:t>
      </w:r>
      <w:r w:rsidR="00964CCB" w:rsidRPr="00144715">
        <w:rPr>
          <w:rFonts w:ascii="Arial" w:hAnsi="Arial" w:cs="Arial"/>
        </w:rPr>
        <w:t>1</w:t>
      </w:r>
      <w:r w:rsidR="00710A64" w:rsidRPr="00144715">
        <w:rPr>
          <w:rFonts w:ascii="Arial" w:hAnsi="Arial" w:cs="Arial"/>
        </w:rPr>
        <w:t> %, contre +2,2 % en 2022, très pénalisé par celui des ménages</w:t>
      </w:r>
      <w:r w:rsidR="00A73E24">
        <w:rPr>
          <w:rFonts w:ascii="Arial" w:hAnsi="Arial" w:cs="Arial"/>
        </w:rPr>
        <w:t> : c</w:t>
      </w:r>
      <w:r w:rsidR="00710A64" w:rsidRPr="00144715">
        <w:rPr>
          <w:rFonts w:ascii="Arial" w:hAnsi="Arial" w:cs="Arial"/>
        </w:rPr>
        <w:t xml:space="preserve">omposé à plus de 80 % de dépenses en logement (construction neuve ou travaux lourds), </w:t>
      </w:r>
      <w:r w:rsidR="00144715">
        <w:rPr>
          <w:rFonts w:ascii="Arial" w:hAnsi="Arial" w:cs="Arial"/>
        </w:rPr>
        <w:t>ce dernier</w:t>
      </w:r>
      <w:r w:rsidR="00FE604A" w:rsidRPr="00144715">
        <w:rPr>
          <w:rFonts w:ascii="Arial" w:hAnsi="Arial" w:cs="Arial"/>
        </w:rPr>
        <w:t xml:space="preserve"> </w:t>
      </w:r>
      <w:r w:rsidR="00710A64" w:rsidRPr="00144715">
        <w:rPr>
          <w:rFonts w:ascii="Arial" w:hAnsi="Arial" w:cs="Arial"/>
        </w:rPr>
        <w:t>recule de 5,</w:t>
      </w:r>
      <w:r w:rsidR="00964CCB" w:rsidRPr="00144715">
        <w:rPr>
          <w:rFonts w:ascii="Arial" w:hAnsi="Arial" w:cs="Arial"/>
        </w:rPr>
        <w:t>1</w:t>
      </w:r>
      <w:r w:rsidR="00710A64" w:rsidRPr="00144715">
        <w:rPr>
          <w:rFonts w:ascii="Arial" w:hAnsi="Arial" w:cs="Arial"/>
        </w:rPr>
        <w:t> %. Par ailleurs, les dépenses de consommation de</w:t>
      </w:r>
      <w:r w:rsidR="00A73E24">
        <w:rPr>
          <w:rFonts w:ascii="Arial" w:hAnsi="Arial" w:cs="Arial"/>
        </w:rPr>
        <w:t xml:space="preserve"> ce</w:t>
      </w:r>
      <w:r w:rsidR="00710A64" w:rsidRPr="00144715">
        <w:rPr>
          <w:rFonts w:ascii="Arial" w:hAnsi="Arial" w:cs="Arial"/>
        </w:rPr>
        <w:t xml:space="preserve">s </w:t>
      </w:r>
      <w:r w:rsidR="00A73E24">
        <w:rPr>
          <w:rFonts w:ascii="Arial" w:hAnsi="Arial" w:cs="Arial"/>
        </w:rPr>
        <w:t>mêmes acteur</w:t>
      </w:r>
      <w:r w:rsidR="00710A64" w:rsidRPr="00144715">
        <w:rPr>
          <w:rFonts w:ascii="Arial" w:hAnsi="Arial" w:cs="Arial"/>
        </w:rPr>
        <w:t xml:space="preserve">s ne progressent que </w:t>
      </w:r>
      <w:r w:rsidR="00FE604A" w:rsidRPr="00144715">
        <w:rPr>
          <w:rFonts w:ascii="Arial" w:hAnsi="Arial" w:cs="Arial"/>
        </w:rPr>
        <w:t>faib</w:t>
      </w:r>
      <w:r w:rsidR="00710A64" w:rsidRPr="00144715">
        <w:rPr>
          <w:rFonts w:ascii="Arial" w:hAnsi="Arial" w:cs="Arial"/>
        </w:rPr>
        <w:t>lement, à +0,</w:t>
      </w:r>
      <w:r w:rsidR="00964CCB" w:rsidRPr="00144715">
        <w:rPr>
          <w:rFonts w:ascii="Arial" w:hAnsi="Arial" w:cs="Arial"/>
        </w:rPr>
        <w:t>6</w:t>
      </w:r>
      <w:r w:rsidR="00710A64" w:rsidRPr="00144715">
        <w:rPr>
          <w:rFonts w:ascii="Arial" w:hAnsi="Arial" w:cs="Arial"/>
        </w:rPr>
        <w:t xml:space="preserve"> %, </w:t>
      </w:r>
      <w:r w:rsidR="00A73E24">
        <w:rPr>
          <w:rFonts w:ascii="Arial" w:hAnsi="Arial" w:cs="Arial"/>
        </w:rPr>
        <w:t>l</w:t>
      </w:r>
      <w:r w:rsidR="00710A64" w:rsidRPr="00144715">
        <w:rPr>
          <w:rFonts w:ascii="Arial" w:hAnsi="Arial" w:cs="Arial"/>
        </w:rPr>
        <w:t xml:space="preserve">es </w:t>
      </w:r>
      <w:r w:rsidR="00A73E24">
        <w:rPr>
          <w:rFonts w:ascii="Arial" w:hAnsi="Arial" w:cs="Arial"/>
        </w:rPr>
        <w:t>ménage</w:t>
      </w:r>
      <w:r w:rsidR="00710A64" w:rsidRPr="00144715">
        <w:rPr>
          <w:rFonts w:ascii="Arial" w:hAnsi="Arial" w:cs="Arial"/>
        </w:rPr>
        <w:t>s semblant à nouveau privilégier l’épargne de précaution à tout le reste, dans un contexte de forte inflation (4,9 % en moyenne sur 2023).</w:t>
      </w:r>
    </w:p>
    <w:p w14:paraId="76ADEF16" w14:textId="51DA7409" w:rsidR="00FF211A" w:rsidRPr="00144715" w:rsidRDefault="002A609F" w:rsidP="00FF211A">
      <w:pPr>
        <w:spacing w:after="120" w:line="360" w:lineRule="auto"/>
        <w:jc w:val="both"/>
        <w:rPr>
          <w:rFonts w:ascii="Arial" w:hAnsi="Arial" w:cs="Arial"/>
        </w:rPr>
      </w:pPr>
      <w:r>
        <w:rPr>
          <w:rFonts w:ascii="Arial" w:hAnsi="Arial" w:cs="Arial"/>
        </w:rPr>
        <w:t>S</w:t>
      </w:r>
      <w:r w:rsidRPr="00144715">
        <w:rPr>
          <w:rFonts w:ascii="Arial" w:hAnsi="Arial" w:cs="Arial"/>
        </w:rPr>
        <w:t xml:space="preserve">ur le </w:t>
      </w:r>
      <w:r>
        <w:rPr>
          <w:rFonts w:ascii="Arial" w:hAnsi="Arial" w:cs="Arial"/>
        </w:rPr>
        <w:t xml:space="preserve">seul </w:t>
      </w:r>
      <w:r w:rsidRPr="00144715">
        <w:rPr>
          <w:rFonts w:ascii="Arial" w:hAnsi="Arial" w:cs="Arial"/>
        </w:rPr>
        <w:t>quatrième trimestre 2023</w:t>
      </w:r>
      <w:r w:rsidR="00FF211A" w:rsidRPr="005E2FA4">
        <w:rPr>
          <w:rFonts w:ascii="Arial" w:hAnsi="Arial" w:cs="Arial"/>
        </w:rPr>
        <w:t>, l</w:t>
      </w:r>
      <w:r>
        <w:rPr>
          <w:rFonts w:ascii="Arial" w:hAnsi="Arial" w:cs="Arial"/>
        </w:rPr>
        <w:t>a croissance du</w:t>
      </w:r>
      <w:r w:rsidR="00FF211A" w:rsidRPr="005E2FA4">
        <w:rPr>
          <w:rFonts w:ascii="Arial" w:hAnsi="Arial" w:cs="Arial"/>
        </w:rPr>
        <w:t xml:space="preserve"> </w:t>
      </w:r>
      <w:r w:rsidR="00FF211A" w:rsidRPr="00144715">
        <w:rPr>
          <w:rFonts w:ascii="Arial" w:hAnsi="Arial" w:cs="Arial"/>
        </w:rPr>
        <w:t xml:space="preserve">PIB </w:t>
      </w:r>
      <w:r>
        <w:rPr>
          <w:rFonts w:ascii="Arial" w:hAnsi="Arial" w:cs="Arial"/>
        </w:rPr>
        <w:t>atterrit</w:t>
      </w:r>
      <w:r w:rsidR="00C41C5E" w:rsidRPr="00144715">
        <w:rPr>
          <w:rFonts w:ascii="Arial" w:hAnsi="Arial" w:cs="Arial"/>
        </w:rPr>
        <w:t>, à +0,1 %</w:t>
      </w:r>
      <w:r w:rsidR="00FF211A" w:rsidRPr="00144715">
        <w:rPr>
          <w:rFonts w:ascii="Arial" w:hAnsi="Arial" w:cs="Arial"/>
        </w:rPr>
        <w:t xml:space="preserve"> (cf.</w:t>
      </w:r>
      <w:r w:rsidR="00FF211A" w:rsidRPr="005E2FA4">
        <w:rPr>
          <w:rFonts w:ascii="Arial" w:hAnsi="Arial" w:cs="Arial"/>
        </w:rPr>
        <w:t xml:space="preserve"> graphique 1). Seul le commerce extérieur </w:t>
      </w:r>
      <w:r>
        <w:rPr>
          <w:rFonts w:ascii="Arial" w:hAnsi="Arial" w:cs="Arial"/>
        </w:rPr>
        <w:t xml:space="preserve">y </w:t>
      </w:r>
      <w:r w:rsidR="00FF211A" w:rsidRPr="005E2FA4">
        <w:rPr>
          <w:rFonts w:ascii="Arial" w:hAnsi="Arial" w:cs="Arial"/>
        </w:rPr>
        <w:t xml:space="preserve">contribue positivement, les </w:t>
      </w:r>
      <w:r w:rsidR="00FF211A" w:rsidRPr="00144715">
        <w:rPr>
          <w:rFonts w:ascii="Arial" w:hAnsi="Arial" w:cs="Arial"/>
        </w:rPr>
        <w:t xml:space="preserve">importations se repliant de </w:t>
      </w:r>
      <w:r w:rsidR="00DA0A71" w:rsidRPr="00144715">
        <w:rPr>
          <w:rFonts w:ascii="Arial" w:hAnsi="Arial" w:cs="Arial"/>
        </w:rPr>
        <w:t>2</w:t>
      </w:r>
      <w:r w:rsidR="00FF211A" w:rsidRPr="00144715">
        <w:rPr>
          <w:rFonts w:ascii="Arial" w:hAnsi="Arial" w:cs="Arial"/>
        </w:rPr>
        <w:t>,</w:t>
      </w:r>
      <w:r w:rsidR="00DA0A71" w:rsidRPr="00144715">
        <w:rPr>
          <w:rFonts w:ascii="Arial" w:hAnsi="Arial" w:cs="Arial"/>
        </w:rPr>
        <w:t>3</w:t>
      </w:r>
      <w:r w:rsidR="00FF211A" w:rsidRPr="00144715">
        <w:rPr>
          <w:rFonts w:ascii="Arial" w:hAnsi="Arial" w:cs="Arial"/>
        </w:rPr>
        <w:t> % alors que les exportations restent atones, tout comme les dépenses de consommation des ménages. Quant à l’investissement total, il diminue de 0,</w:t>
      </w:r>
      <w:r w:rsidR="00DA0A71" w:rsidRPr="00144715">
        <w:rPr>
          <w:rFonts w:ascii="Arial" w:hAnsi="Arial" w:cs="Arial"/>
        </w:rPr>
        <w:t>9</w:t>
      </w:r>
      <w:r w:rsidR="00FF211A" w:rsidRPr="00144715">
        <w:rPr>
          <w:rFonts w:ascii="Arial" w:hAnsi="Arial" w:cs="Arial"/>
        </w:rPr>
        <w:t xml:space="preserve"> % </w:t>
      </w:r>
      <w:r w:rsidR="00DA0A71" w:rsidRPr="00144715">
        <w:rPr>
          <w:rFonts w:ascii="Arial" w:hAnsi="Arial" w:cs="Arial"/>
        </w:rPr>
        <w:t>du fait du</w:t>
      </w:r>
      <w:r w:rsidR="00FF211A" w:rsidRPr="00144715">
        <w:rPr>
          <w:rFonts w:ascii="Arial" w:hAnsi="Arial" w:cs="Arial"/>
        </w:rPr>
        <w:t xml:space="preserve"> repli </w:t>
      </w:r>
      <w:r w:rsidR="00DA0A71" w:rsidRPr="00144715">
        <w:rPr>
          <w:rFonts w:ascii="Arial" w:hAnsi="Arial" w:cs="Arial"/>
        </w:rPr>
        <w:t xml:space="preserve">des composantes </w:t>
      </w:r>
      <w:r w:rsidR="00FF211A" w:rsidRPr="00144715">
        <w:rPr>
          <w:rFonts w:ascii="Arial" w:hAnsi="Arial" w:cs="Arial"/>
        </w:rPr>
        <w:t>entreprises (-0,</w:t>
      </w:r>
      <w:r w:rsidR="00DA0A71" w:rsidRPr="00144715">
        <w:rPr>
          <w:rFonts w:ascii="Arial" w:hAnsi="Arial" w:cs="Arial"/>
        </w:rPr>
        <w:t>9</w:t>
      </w:r>
      <w:r w:rsidR="00FF211A" w:rsidRPr="00144715">
        <w:rPr>
          <w:rFonts w:ascii="Arial" w:hAnsi="Arial" w:cs="Arial"/>
        </w:rPr>
        <w:t> %</w:t>
      </w:r>
      <w:r>
        <w:rPr>
          <w:rFonts w:ascii="Arial" w:hAnsi="Arial" w:cs="Arial"/>
        </w:rPr>
        <w:t>, dont -5,6 % en construction</w:t>
      </w:r>
      <w:r w:rsidR="00FF211A" w:rsidRPr="00144715">
        <w:rPr>
          <w:rFonts w:ascii="Arial" w:hAnsi="Arial" w:cs="Arial"/>
        </w:rPr>
        <w:t>) et ménages (-1,4 %)</w:t>
      </w:r>
      <w:r w:rsidR="00DA0A71" w:rsidRPr="00144715">
        <w:rPr>
          <w:rFonts w:ascii="Arial" w:hAnsi="Arial" w:cs="Arial"/>
        </w:rPr>
        <w:t>, alors que celle des administrations publiques ne fait plus que se stabiliser</w:t>
      </w:r>
      <w:r w:rsidR="00FF211A" w:rsidRPr="00144715">
        <w:rPr>
          <w:rFonts w:ascii="Arial" w:hAnsi="Arial" w:cs="Arial"/>
        </w:rPr>
        <w:t>.</w:t>
      </w:r>
    </w:p>
    <w:p w14:paraId="149346B9" w14:textId="0C8B1B11" w:rsidR="00F87480" w:rsidRPr="00871E57" w:rsidRDefault="00F87480" w:rsidP="00867B30">
      <w:pPr>
        <w:spacing w:after="0" w:line="360" w:lineRule="auto"/>
        <w:jc w:val="center"/>
        <w:rPr>
          <w:rFonts w:ascii="Arial" w:hAnsi="Arial" w:cs="Arial"/>
          <w:b/>
        </w:rPr>
      </w:pPr>
      <w:r w:rsidRPr="00871E57">
        <w:rPr>
          <w:rFonts w:ascii="Arial" w:hAnsi="Arial" w:cs="Arial"/>
        </w:rPr>
        <w:t xml:space="preserve">Graphique 1 – </w:t>
      </w:r>
      <w:r w:rsidRPr="00871E57">
        <w:rPr>
          <w:rFonts w:ascii="Arial" w:hAnsi="Arial" w:cs="Arial"/>
          <w:b/>
        </w:rPr>
        <w:t>Le PIB et ses composantes</w:t>
      </w:r>
    </w:p>
    <w:p w14:paraId="710CE8B1" w14:textId="593DAA91" w:rsidR="00F87480" w:rsidRPr="00C704DF" w:rsidRDefault="005F7FE0" w:rsidP="006F5A71">
      <w:pPr>
        <w:spacing w:after="60" w:line="240" w:lineRule="auto"/>
        <w:jc w:val="center"/>
        <w:rPr>
          <w:rFonts w:ascii="Arial" w:hAnsi="Arial" w:cs="Arial"/>
          <w:highlight w:val="yellow"/>
        </w:rPr>
      </w:pPr>
      <w:r w:rsidRPr="005F7FE0">
        <w:rPr>
          <w:rFonts w:ascii="Arial" w:hAnsi="Arial" w:cs="Arial"/>
          <w:noProof/>
        </w:rPr>
        <w:drawing>
          <wp:inline distT="0" distB="0" distL="0" distR="0" wp14:anchorId="1828F944" wp14:editId="6D7CA1AD">
            <wp:extent cx="5760720" cy="3064510"/>
            <wp:effectExtent l="0" t="0" r="0" b="2540"/>
            <wp:docPr id="4464637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1747C511" w14:textId="1855909A" w:rsidR="00F87480" w:rsidRPr="00871E57" w:rsidRDefault="00F87480" w:rsidP="00F87480">
      <w:pPr>
        <w:spacing w:after="120" w:line="360" w:lineRule="auto"/>
        <w:jc w:val="center"/>
        <w:rPr>
          <w:rFonts w:ascii="Arial" w:hAnsi="Arial" w:cs="Arial"/>
          <w:i/>
          <w:sz w:val="20"/>
          <w:szCs w:val="20"/>
        </w:rPr>
      </w:pPr>
      <w:r w:rsidRPr="00871E57">
        <w:rPr>
          <w:rFonts w:ascii="Arial" w:hAnsi="Arial" w:cs="Arial"/>
          <w:i/>
          <w:sz w:val="20"/>
          <w:szCs w:val="20"/>
        </w:rPr>
        <w:t xml:space="preserve">Source : </w:t>
      </w:r>
      <w:r w:rsidR="00931B1C">
        <w:rPr>
          <w:rFonts w:ascii="Arial" w:hAnsi="Arial" w:cs="Arial"/>
          <w:i/>
          <w:sz w:val="20"/>
          <w:szCs w:val="20"/>
        </w:rPr>
        <w:t xml:space="preserve">calculs </w:t>
      </w:r>
      <w:r w:rsidR="00527707">
        <w:rPr>
          <w:rFonts w:ascii="Arial" w:hAnsi="Arial" w:cs="Arial"/>
          <w:i/>
          <w:sz w:val="20"/>
          <w:szCs w:val="20"/>
        </w:rPr>
        <w:t xml:space="preserve">FFB d’après </w:t>
      </w:r>
      <w:r w:rsidRPr="00871E57">
        <w:rPr>
          <w:rFonts w:ascii="Arial" w:hAnsi="Arial" w:cs="Arial"/>
          <w:i/>
          <w:sz w:val="20"/>
          <w:szCs w:val="20"/>
        </w:rPr>
        <w:t>Insee</w:t>
      </w:r>
    </w:p>
    <w:p w14:paraId="3F6738BE" w14:textId="7E02F83A" w:rsidR="00FE6DE4" w:rsidRPr="00A17991" w:rsidRDefault="00CB705F" w:rsidP="00FE6DE4">
      <w:pPr>
        <w:spacing w:after="120" w:line="360" w:lineRule="auto"/>
        <w:jc w:val="both"/>
        <w:rPr>
          <w:rFonts w:ascii="Arial" w:eastAsia="Calibri" w:hAnsi="Arial" w:cs="Arial"/>
        </w:rPr>
      </w:pPr>
      <w:r w:rsidRPr="00A17991">
        <w:rPr>
          <w:rFonts w:ascii="Arial" w:eastAsia="Calibri" w:hAnsi="Arial" w:cs="Arial"/>
        </w:rPr>
        <w:lastRenderedPageBreak/>
        <w:t>L</w:t>
      </w:r>
      <w:r w:rsidR="00FE604A" w:rsidRPr="00A17991">
        <w:rPr>
          <w:rFonts w:ascii="Arial" w:eastAsia="Calibri" w:hAnsi="Arial" w:cs="Arial"/>
        </w:rPr>
        <w:t>e tassement de l</w:t>
      </w:r>
      <w:r w:rsidRPr="00A17991">
        <w:rPr>
          <w:rFonts w:ascii="Arial" w:eastAsia="Calibri" w:hAnsi="Arial" w:cs="Arial"/>
        </w:rPr>
        <w:t xml:space="preserve">’inflation </w:t>
      </w:r>
      <w:r w:rsidR="009F6136" w:rsidRPr="00A17991">
        <w:rPr>
          <w:rFonts w:ascii="Arial" w:eastAsia="Calibri" w:hAnsi="Arial" w:cs="Arial"/>
        </w:rPr>
        <w:t>depuis</w:t>
      </w:r>
      <w:r w:rsidRPr="00A17991">
        <w:rPr>
          <w:rFonts w:ascii="Arial" w:eastAsia="Calibri" w:hAnsi="Arial" w:cs="Arial"/>
        </w:rPr>
        <w:t xml:space="preserve"> la fin 2023</w:t>
      </w:r>
      <w:r w:rsidR="00FD5B80" w:rsidRPr="00A17991">
        <w:rPr>
          <w:rFonts w:ascii="Arial" w:eastAsia="Calibri" w:hAnsi="Arial" w:cs="Arial"/>
        </w:rPr>
        <w:t xml:space="preserve"> vient toutefois éclaircir </w:t>
      </w:r>
      <w:r w:rsidR="00522D56" w:rsidRPr="00A17991">
        <w:rPr>
          <w:rFonts w:ascii="Arial" w:eastAsia="Calibri" w:hAnsi="Arial" w:cs="Arial"/>
        </w:rPr>
        <w:t>le ciel français</w:t>
      </w:r>
      <w:r w:rsidR="004C4C7E" w:rsidRPr="00A17991">
        <w:rPr>
          <w:rFonts w:ascii="Arial" w:eastAsia="Calibri" w:hAnsi="Arial" w:cs="Arial"/>
        </w:rPr>
        <w:t xml:space="preserve"> (</w:t>
      </w:r>
      <w:r w:rsidR="00522D56" w:rsidRPr="00A17991">
        <w:rPr>
          <w:rFonts w:ascii="Arial" w:eastAsia="Calibri" w:hAnsi="Arial" w:cs="Arial"/>
        </w:rPr>
        <w:t xml:space="preserve">cf. graphique 2). De fait, </w:t>
      </w:r>
      <w:r w:rsidR="00A45E97" w:rsidRPr="00A17991">
        <w:rPr>
          <w:rFonts w:ascii="Arial" w:eastAsia="Calibri" w:hAnsi="Arial" w:cs="Arial"/>
        </w:rPr>
        <w:t>cette dernière</w:t>
      </w:r>
      <w:r w:rsidR="00522D56" w:rsidRPr="00A17991">
        <w:rPr>
          <w:rFonts w:ascii="Arial" w:eastAsia="Calibri" w:hAnsi="Arial" w:cs="Arial"/>
        </w:rPr>
        <w:t xml:space="preserve"> </w:t>
      </w:r>
      <w:r w:rsidR="009F6136" w:rsidRPr="00144715">
        <w:rPr>
          <w:rFonts w:ascii="Arial" w:eastAsia="Calibri" w:hAnsi="Arial" w:cs="Arial"/>
        </w:rPr>
        <w:t xml:space="preserve">continue de ralentir </w:t>
      </w:r>
      <w:r w:rsidR="00522D56" w:rsidRPr="00144715">
        <w:rPr>
          <w:rFonts w:ascii="Arial" w:eastAsia="Calibri" w:hAnsi="Arial" w:cs="Arial"/>
        </w:rPr>
        <w:t xml:space="preserve">à </w:t>
      </w:r>
      <w:r w:rsidR="00A17991" w:rsidRPr="00144715">
        <w:rPr>
          <w:rFonts w:ascii="Arial" w:eastAsia="Calibri" w:hAnsi="Arial" w:cs="Arial"/>
        </w:rPr>
        <w:t>2</w:t>
      </w:r>
      <w:r w:rsidR="00522D56" w:rsidRPr="00144715">
        <w:rPr>
          <w:rFonts w:ascii="Arial" w:eastAsia="Calibri" w:hAnsi="Arial" w:cs="Arial"/>
        </w:rPr>
        <w:t>,</w:t>
      </w:r>
      <w:r w:rsidR="00A17991" w:rsidRPr="00144715">
        <w:rPr>
          <w:rFonts w:ascii="Arial" w:eastAsia="Calibri" w:hAnsi="Arial" w:cs="Arial"/>
        </w:rPr>
        <w:t>9</w:t>
      </w:r>
      <w:r w:rsidR="00522D56" w:rsidRPr="00144715">
        <w:rPr>
          <w:rFonts w:ascii="Arial" w:eastAsia="Calibri" w:hAnsi="Arial" w:cs="Arial"/>
        </w:rPr>
        <w:t xml:space="preserve"> % </w:t>
      </w:r>
      <w:r w:rsidR="008D516D" w:rsidRPr="00144715">
        <w:rPr>
          <w:rFonts w:ascii="Arial" w:eastAsia="Calibri" w:hAnsi="Arial" w:cs="Arial"/>
        </w:rPr>
        <w:t xml:space="preserve">en </w:t>
      </w:r>
      <w:r w:rsidR="00A17991" w:rsidRPr="00144715">
        <w:rPr>
          <w:rFonts w:ascii="Arial" w:eastAsia="Calibri" w:hAnsi="Arial" w:cs="Arial"/>
        </w:rPr>
        <w:t>février</w:t>
      </w:r>
      <w:r w:rsidR="009F6136" w:rsidRPr="00144715">
        <w:rPr>
          <w:rFonts w:ascii="Arial" w:eastAsia="Calibri" w:hAnsi="Arial" w:cs="Arial"/>
        </w:rPr>
        <w:t xml:space="preserve"> 2024</w:t>
      </w:r>
      <w:r w:rsidR="008D516D" w:rsidRPr="00144715">
        <w:rPr>
          <w:rFonts w:ascii="Arial" w:eastAsia="Calibri" w:hAnsi="Arial" w:cs="Arial"/>
        </w:rPr>
        <w:t xml:space="preserve"> </w:t>
      </w:r>
      <w:r w:rsidR="00522D56" w:rsidRPr="00144715">
        <w:rPr>
          <w:rFonts w:ascii="Arial" w:eastAsia="Calibri" w:hAnsi="Arial" w:cs="Arial"/>
        </w:rPr>
        <w:t>sur un an</w:t>
      </w:r>
      <w:r w:rsidR="00A45E97" w:rsidRPr="00144715">
        <w:rPr>
          <w:rFonts w:ascii="Arial" w:eastAsia="Calibri" w:hAnsi="Arial" w:cs="Arial"/>
        </w:rPr>
        <w:t xml:space="preserve">. </w:t>
      </w:r>
      <w:r w:rsidR="002A609F">
        <w:rPr>
          <w:rFonts w:ascii="Arial" w:eastAsia="Calibri" w:hAnsi="Arial" w:cs="Arial"/>
        </w:rPr>
        <w:t xml:space="preserve">Depuis son point haut du début 2023 (6,3 % en février), son rythme a connu une division par plus de deux. </w:t>
      </w:r>
      <w:r w:rsidR="00FE604A" w:rsidRPr="00144715">
        <w:rPr>
          <w:rFonts w:ascii="Arial" w:eastAsia="Calibri" w:hAnsi="Arial" w:cs="Arial"/>
        </w:rPr>
        <w:t>L</w:t>
      </w:r>
      <w:r w:rsidR="00AB0316" w:rsidRPr="00144715">
        <w:rPr>
          <w:rFonts w:ascii="Arial" w:eastAsia="Calibri" w:hAnsi="Arial" w:cs="Arial"/>
        </w:rPr>
        <w:t>es prix de l’alimentation</w:t>
      </w:r>
      <w:r w:rsidR="007C6F8A" w:rsidRPr="00144715">
        <w:rPr>
          <w:rFonts w:ascii="Arial" w:eastAsia="Calibri" w:hAnsi="Arial" w:cs="Arial"/>
        </w:rPr>
        <w:t xml:space="preserve"> </w:t>
      </w:r>
      <w:r w:rsidR="009F6136" w:rsidRPr="00144715">
        <w:rPr>
          <w:rFonts w:ascii="Arial" w:eastAsia="Calibri" w:hAnsi="Arial" w:cs="Arial"/>
        </w:rPr>
        <w:t xml:space="preserve">et des produits manufacturés </w:t>
      </w:r>
      <w:r w:rsidR="007C6F8A" w:rsidRPr="00144715">
        <w:rPr>
          <w:rFonts w:ascii="Arial" w:eastAsia="Calibri" w:hAnsi="Arial" w:cs="Arial"/>
        </w:rPr>
        <w:t xml:space="preserve">contribuent </w:t>
      </w:r>
      <w:r w:rsidR="00FE604A" w:rsidRPr="00144715">
        <w:rPr>
          <w:rFonts w:ascii="Arial" w:eastAsia="Calibri" w:hAnsi="Arial" w:cs="Arial"/>
        </w:rPr>
        <w:t>à ce</w:t>
      </w:r>
      <w:r w:rsidR="004D6485" w:rsidRPr="00144715">
        <w:rPr>
          <w:rFonts w:ascii="Arial" w:eastAsia="Calibri" w:hAnsi="Arial" w:cs="Arial"/>
        </w:rPr>
        <w:t xml:space="preserve"> reflux</w:t>
      </w:r>
      <w:r w:rsidR="00AB0316" w:rsidRPr="00144715">
        <w:rPr>
          <w:rFonts w:ascii="Arial" w:eastAsia="Calibri" w:hAnsi="Arial" w:cs="Arial"/>
        </w:rPr>
        <w:t xml:space="preserve"> </w:t>
      </w:r>
      <w:r w:rsidR="007C6F8A" w:rsidRPr="00144715">
        <w:rPr>
          <w:rFonts w:ascii="Arial" w:eastAsia="Calibri" w:hAnsi="Arial" w:cs="Arial"/>
        </w:rPr>
        <w:t>(</w:t>
      </w:r>
      <w:r w:rsidR="00AB0316" w:rsidRPr="00144715">
        <w:rPr>
          <w:rFonts w:ascii="Arial" w:eastAsia="Calibri" w:hAnsi="Arial" w:cs="Arial"/>
        </w:rPr>
        <w:t xml:space="preserve">respectivement </w:t>
      </w:r>
      <w:r w:rsidR="007C6F8A" w:rsidRPr="00144715">
        <w:rPr>
          <w:rFonts w:ascii="Arial" w:eastAsia="Calibri" w:hAnsi="Arial" w:cs="Arial"/>
        </w:rPr>
        <w:t>+</w:t>
      </w:r>
      <w:r w:rsidR="00A17991" w:rsidRPr="00144715">
        <w:rPr>
          <w:rFonts w:ascii="Arial" w:eastAsia="Calibri" w:hAnsi="Arial" w:cs="Arial"/>
        </w:rPr>
        <w:t>3</w:t>
      </w:r>
      <w:r w:rsidR="007C6F8A" w:rsidRPr="00144715">
        <w:rPr>
          <w:rFonts w:ascii="Arial" w:eastAsia="Calibri" w:hAnsi="Arial" w:cs="Arial"/>
        </w:rPr>
        <w:t>,</w:t>
      </w:r>
      <w:r w:rsidR="00A17991" w:rsidRPr="00144715">
        <w:rPr>
          <w:rFonts w:ascii="Arial" w:eastAsia="Calibri" w:hAnsi="Arial" w:cs="Arial"/>
        </w:rPr>
        <w:t>6</w:t>
      </w:r>
      <w:r w:rsidR="007C6F8A" w:rsidRPr="00144715">
        <w:rPr>
          <w:rFonts w:ascii="Arial" w:eastAsia="Calibri" w:hAnsi="Arial" w:cs="Arial"/>
        </w:rPr>
        <w:t> %</w:t>
      </w:r>
      <w:r w:rsidR="00A17991" w:rsidRPr="00144715">
        <w:rPr>
          <w:rFonts w:ascii="Arial" w:eastAsia="Calibri" w:hAnsi="Arial" w:cs="Arial"/>
        </w:rPr>
        <w:t xml:space="preserve"> </w:t>
      </w:r>
      <w:r w:rsidR="009F6136" w:rsidRPr="00144715">
        <w:rPr>
          <w:rFonts w:ascii="Arial" w:eastAsia="Calibri" w:hAnsi="Arial" w:cs="Arial"/>
        </w:rPr>
        <w:t>et +0,</w:t>
      </w:r>
      <w:r w:rsidR="00A17991" w:rsidRPr="00144715">
        <w:rPr>
          <w:rFonts w:ascii="Arial" w:eastAsia="Calibri" w:hAnsi="Arial" w:cs="Arial"/>
        </w:rPr>
        <w:t>3</w:t>
      </w:r>
      <w:r w:rsidR="009F6136" w:rsidRPr="00144715">
        <w:rPr>
          <w:rFonts w:ascii="Arial" w:eastAsia="Calibri" w:hAnsi="Arial" w:cs="Arial"/>
        </w:rPr>
        <w:t xml:space="preserve"> % </w:t>
      </w:r>
      <w:r w:rsidR="007C6F8A" w:rsidRPr="00144715">
        <w:rPr>
          <w:rFonts w:ascii="Arial" w:eastAsia="Calibri" w:hAnsi="Arial" w:cs="Arial"/>
        </w:rPr>
        <w:t xml:space="preserve">en </w:t>
      </w:r>
      <w:r w:rsidR="00A17991" w:rsidRPr="00144715">
        <w:rPr>
          <w:rFonts w:ascii="Arial" w:eastAsia="Calibri" w:hAnsi="Arial" w:cs="Arial"/>
        </w:rPr>
        <w:t>février</w:t>
      </w:r>
      <w:r w:rsidR="00AB0316" w:rsidRPr="00144715">
        <w:rPr>
          <w:rFonts w:ascii="Arial" w:eastAsia="Calibri" w:hAnsi="Arial" w:cs="Arial"/>
        </w:rPr>
        <w:t xml:space="preserve"> contre +</w:t>
      </w:r>
      <w:r w:rsidR="00A17991" w:rsidRPr="00144715">
        <w:rPr>
          <w:rFonts w:ascii="Arial" w:eastAsia="Calibri" w:hAnsi="Arial" w:cs="Arial"/>
        </w:rPr>
        <w:t>5</w:t>
      </w:r>
      <w:r w:rsidR="00AB0316" w:rsidRPr="00144715">
        <w:rPr>
          <w:rFonts w:ascii="Arial" w:eastAsia="Calibri" w:hAnsi="Arial" w:cs="Arial"/>
        </w:rPr>
        <w:t>,</w:t>
      </w:r>
      <w:r w:rsidR="00A17991" w:rsidRPr="00144715">
        <w:rPr>
          <w:rFonts w:ascii="Arial" w:eastAsia="Calibri" w:hAnsi="Arial" w:cs="Arial"/>
        </w:rPr>
        <w:t>7</w:t>
      </w:r>
      <w:r w:rsidR="00AB0316" w:rsidRPr="00144715">
        <w:rPr>
          <w:rFonts w:ascii="Arial" w:eastAsia="Calibri" w:hAnsi="Arial" w:cs="Arial"/>
        </w:rPr>
        <w:t xml:space="preserve"> % </w:t>
      </w:r>
      <w:r w:rsidR="009F6136" w:rsidRPr="00144715">
        <w:rPr>
          <w:rFonts w:ascii="Arial" w:eastAsia="Calibri" w:hAnsi="Arial" w:cs="Arial"/>
        </w:rPr>
        <w:t>et +</w:t>
      </w:r>
      <w:r w:rsidR="00A17991" w:rsidRPr="00144715">
        <w:rPr>
          <w:rFonts w:ascii="Arial" w:eastAsia="Calibri" w:hAnsi="Arial" w:cs="Arial"/>
        </w:rPr>
        <w:t>0</w:t>
      </w:r>
      <w:r w:rsidR="009F6136" w:rsidRPr="00144715">
        <w:rPr>
          <w:rFonts w:ascii="Arial" w:eastAsia="Calibri" w:hAnsi="Arial" w:cs="Arial"/>
        </w:rPr>
        <w:t>,</w:t>
      </w:r>
      <w:r w:rsidR="00A17991" w:rsidRPr="00144715">
        <w:rPr>
          <w:rFonts w:ascii="Arial" w:eastAsia="Calibri" w:hAnsi="Arial" w:cs="Arial"/>
        </w:rPr>
        <w:t>7</w:t>
      </w:r>
      <w:r w:rsidR="009F6136" w:rsidRPr="00144715">
        <w:rPr>
          <w:rFonts w:ascii="Arial" w:eastAsia="Calibri" w:hAnsi="Arial" w:cs="Arial"/>
        </w:rPr>
        <w:t xml:space="preserve"> % en </w:t>
      </w:r>
      <w:r w:rsidR="005B2D67" w:rsidRPr="00144715">
        <w:rPr>
          <w:rFonts w:ascii="Arial" w:eastAsia="Calibri" w:hAnsi="Arial" w:cs="Arial"/>
        </w:rPr>
        <w:t>janvier 2024</w:t>
      </w:r>
      <w:r w:rsidR="007C6F8A" w:rsidRPr="00144715">
        <w:rPr>
          <w:rFonts w:ascii="Arial" w:eastAsia="Calibri" w:hAnsi="Arial" w:cs="Arial"/>
        </w:rPr>
        <w:t>)</w:t>
      </w:r>
      <w:r w:rsidR="00D06752" w:rsidRPr="00144715">
        <w:rPr>
          <w:rFonts w:ascii="Arial" w:eastAsia="Calibri" w:hAnsi="Arial" w:cs="Arial"/>
        </w:rPr>
        <w:t xml:space="preserve">, </w:t>
      </w:r>
      <w:r w:rsidR="00AB0316" w:rsidRPr="00144715">
        <w:rPr>
          <w:rFonts w:ascii="Arial" w:eastAsia="Calibri" w:hAnsi="Arial" w:cs="Arial"/>
        </w:rPr>
        <w:t>alors que</w:t>
      </w:r>
      <w:r w:rsidR="00D06752" w:rsidRPr="00144715">
        <w:rPr>
          <w:rFonts w:ascii="Arial" w:eastAsia="Calibri" w:hAnsi="Arial" w:cs="Arial"/>
        </w:rPr>
        <w:t xml:space="preserve"> ceux </w:t>
      </w:r>
      <w:r w:rsidR="009F6136" w:rsidRPr="00144715">
        <w:rPr>
          <w:rFonts w:ascii="Arial" w:eastAsia="Calibri" w:hAnsi="Arial" w:cs="Arial"/>
        </w:rPr>
        <w:t xml:space="preserve">des </w:t>
      </w:r>
      <w:r w:rsidR="00D06752" w:rsidRPr="00144715">
        <w:rPr>
          <w:rFonts w:ascii="Arial" w:eastAsia="Calibri" w:hAnsi="Arial" w:cs="Arial"/>
        </w:rPr>
        <w:t>services</w:t>
      </w:r>
      <w:r w:rsidR="00AB0316" w:rsidRPr="00144715">
        <w:rPr>
          <w:rFonts w:ascii="Arial" w:eastAsia="Calibri" w:hAnsi="Arial" w:cs="Arial"/>
        </w:rPr>
        <w:t xml:space="preserve"> conservent leur rythme de hausse</w:t>
      </w:r>
      <w:r w:rsidR="00D06752" w:rsidRPr="00144715">
        <w:rPr>
          <w:rFonts w:ascii="Arial" w:eastAsia="Calibri" w:hAnsi="Arial" w:cs="Arial"/>
        </w:rPr>
        <w:t>, à +</w:t>
      </w:r>
      <w:r w:rsidR="00AB0316" w:rsidRPr="00144715">
        <w:rPr>
          <w:rFonts w:ascii="Arial" w:eastAsia="Calibri" w:hAnsi="Arial" w:cs="Arial"/>
        </w:rPr>
        <w:t>3,</w:t>
      </w:r>
      <w:r w:rsidR="00A17991" w:rsidRPr="00144715">
        <w:rPr>
          <w:rFonts w:ascii="Arial" w:eastAsia="Calibri" w:hAnsi="Arial" w:cs="Arial"/>
        </w:rPr>
        <w:t>1</w:t>
      </w:r>
      <w:r w:rsidR="009F6136" w:rsidRPr="00144715">
        <w:rPr>
          <w:rFonts w:ascii="Arial" w:eastAsia="Calibri" w:hAnsi="Arial" w:cs="Arial"/>
        </w:rPr>
        <w:t> %</w:t>
      </w:r>
      <w:r w:rsidR="00A17991" w:rsidRPr="00144715">
        <w:rPr>
          <w:rFonts w:ascii="Arial" w:eastAsia="Calibri" w:hAnsi="Arial" w:cs="Arial"/>
        </w:rPr>
        <w:t xml:space="preserve">, et que ceux de l’énergie accélèrent (+4,4 % </w:t>
      </w:r>
      <w:r w:rsidR="00A17991" w:rsidRPr="00144715">
        <w:rPr>
          <w:rFonts w:ascii="Arial" w:eastAsia="Calibri" w:hAnsi="Arial" w:cs="Arial"/>
          <w:i/>
          <w:iCs/>
        </w:rPr>
        <w:t>versus</w:t>
      </w:r>
      <w:r w:rsidR="00A17991" w:rsidRPr="00144715">
        <w:rPr>
          <w:rFonts w:ascii="Arial" w:eastAsia="Calibri" w:hAnsi="Arial" w:cs="Arial"/>
        </w:rPr>
        <w:t xml:space="preserve"> +1,9 %)</w:t>
      </w:r>
      <w:r w:rsidR="00522D56" w:rsidRPr="00144715">
        <w:rPr>
          <w:rFonts w:ascii="Arial" w:eastAsia="Calibri" w:hAnsi="Arial" w:cs="Arial"/>
        </w:rPr>
        <w:t>.</w:t>
      </w:r>
    </w:p>
    <w:p w14:paraId="28C39B29" w14:textId="2C5C1734" w:rsidR="002C15D0" w:rsidRDefault="002C15D0" w:rsidP="002C15D0">
      <w:pPr>
        <w:tabs>
          <w:tab w:val="left" w:pos="1843"/>
        </w:tabs>
        <w:spacing w:after="0" w:line="360" w:lineRule="auto"/>
        <w:jc w:val="center"/>
        <w:rPr>
          <w:rFonts w:ascii="Arial" w:hAnsi="Arial" w:cs="Arial"/>
        </w:rPr>
      </w:pPr>
      <w:r w:rsidRPr="000F18D0">
        <w:rPr>
          <w:rFonts w:ascii="Arial" w:hAnsi="Arial" w:cs="Arial"/>
        </w:rPr>
        <w:t xml:space="preserve">Graphique </w:t>
      </w:r>
      <w:r w:rsidR="00533807">
        <w:rPr>
          <w:rFonts w:ascii="Arial" w:hAnsi="Arial" w:cs="Arial"/>
        </w:rPr>
        <w:t>2</w:t>
      </w:r>
      <w:r w:rsidRPr="000F18D0">
        <w:rPr>
          <w:rFonts w:ascii="Arial" w:hAnsi="Arial" w:cs="Arial"/>
        </w:rPr>
        <w:t xml:space="preserve"> – </w:t>
      </w:r>
      <w:r w:rsidRPr="000F18D0">
        <w:rPr>
          <w:rFonts w:ascii="Arial" w:hAnsi="Arial" w:cs="Arial"/>
          <w:b/>
        </w:rPr>
        <w:t xml:space="preserve">Taux </w:t>
      </w:r>
      <w:r>
        <w:rPr>
          <w:rFonts w:ascii="Arial" w:hAnsi="Arial" w:cs="Arial"/>
          <w:b/>
        </w:rPr>
        <w:t>d’inflation</w:t>
      </w:r>
      <w:r w:rsidR="00A42986">
        <w:rPr>
          <w:rFonts w:ascii="Arial" w:hAnsi="Arial" w:cs="Arial"/>
          <w:b/>
        </w:rPr>
        <w:t xml:space="preserve"> </w:t>
      </w:r>
    </w:p>
    <w:p w14:paraId="732440FF" w14:textId="5EAA64A8" w:rsidR="002C15D0" w:rsidRDefault="006C1DFC" w:rsidP="006F5A71">
      <w:pPr>
        <w:spacing w:after="60" w:line="240" w:lineRule="auto"/>
        <w:jc w:val="both"/>
        <w:rPr>
          <w:rFonts w:ascii="Arial" w:hAnsi="Arial" w:cs="Arial"/>
        </w:rPr>
      </w:pPr>
      <w:r w:rsidRPr="006C1DFC">
        <w:rPr>
          <w:rFonts w:ascii="Arial" w:hAnsi="Arial" w:cs="Arial"/>
          <w:noProof/>
        </w:rPr>
        <w:drawing>
          <wp:inline distT="0" distB="0" distL="0" distR="0" wp14:anchorId="0032867E" wp14:editId="3411CD9B">
            <wp:extent cx="5760720" cy="3082290"/>
            <wp:effectExtent l="0" t="0" r="0" b="3810"/>
            <wp:docPr id="12072947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082290"/>
                    </a:xfrm>
                    <a:prstGeom prst="rect">
                      <a:avLst/>
                    </a:prstGeom>
                    <a:noFill/>
                    <a:ln>
                      <a:noFill/>
                    </a:ln>
                  </pic:spPr>
                </pic:pic>
              </a:graphicData>
            </a:graphic>
          </wp:inline>
        </w:drawing>
      </w:r>
    </w:p>
    <w:p w14:paraId="50DE63F5" w14:textId="77777777" w:rsidR="002C15D0" w:rsidRPr="009548B8" w:rsidRDefault="002C15D0" w:rsidP="00DB722D">
      <w:pPr>
        <w:spacing w:after="60" w:line="360" w:lineRule="auto"/>
        <w:jc w:val="center"/>
        <w:rPr>
          <w:rFonts w:ascii="Arial" w:hAnsi="Arial" w:cs="Arial"/>
        </w:rPr>
      </w:pPr>
      <w:r w:rsidRPr="009548B8">
        <w:rPr>
          <w:rFonts w:ascii="Arial" w:hAnsi="Arial" w:cs="Arial"/>
          <w:i/>
          <w:sz w:val="20"/>
        </w:rPr>
        <w:t>Source : Insee</w:t>
      </w:r>
    </w:p>
    <w:p w14:paraId="68810BFF" w14:textId="4F3CC012" w:rsidR="00533807" w:rsidRPr="00F87897" w:rsidRDefault="00A25470" w:rsidP="00DB722D">
      <w:pPr>
        <w:spacing w:after="60" w:line="360" w:lineRule="auto"/>
        <w:jc w:val="both"/>
        <w:rPr>
          <w:rFonts w:ascii="Arial" w:hAnsi="Arial" w:cs="Arial"/>
        </w:rPr>
      </w:pPr>
      <w:r w:rsidRPr="00C45093">
        <w:rPr>
          <w:rFonts w:ascii="Arial" w:hAnsi="Arial" w:cs="Arial"/>
        </w:rPr>
        <w:t>L</w:t>
      </w:r>
      <w:r w:rsidR="009C52B3" w:rsidRPr="00C45093">
        <w:rPr>
          <w:rFonts w:ascii="Arial" w:hAnsi="Arial" w:cs="Arial"/>
        </w:rPr>
        <w:t xml:space="preserve">e taux de chômage </w:t>
      </w:r>
      <w:r w:rsidR="003427CA" w:rsidRPr="00C45093">
        <w:rPr>
          <w:rFonts w:ascii="Arial" w:hAnsi="Arial" w:cs="Arial"/>
        </w:rPr>
        <w:t>se stabilise</w:t>
      </w:r>
      <w:r w:rsidR="00EF584C" w:rsidRPr="00C45093">
        <w:rPr>
          <w:rFonts w:ascii="Arial" w:hAnsi="Arial" w:cs="Arial"/>
        </w:rPr>
        <w:t xml:space="preserve"> </w:t>
      </w:r>
      <w:r w:rsidR="003427CA" w:rsidRPr="00C45093">
        <w:rPr>
          <w:rFonts w:ascii="Arial" w:hAnsi="Arial" w:cs="Arial"/>
        </w:rPr>
        <w:t>sur le quatrième</w:t>
      </w:r>
      <w:r w:rsidR="00EF584C" w:rsidRPr="00C45093">
        <w:rPr>
          <w:rFonts w:ascii="Arial" w:hAnsi="Arial" w:cs="Arial"/>
        </w:rPr>
        <w:t xml:space="preserve"> trimestre 2023</w:t>
      </w:r>
      <w:r w:rsidR="009C52B3" w:rsidRPr="00C45093">
        <w:rPr>
          <w:rFonts w:ascii="Arial" w:hAnsi="Arial" w:cs="Arial"/>
        </w:rPr>
        <w:t>, à 7,</w:t>
      </w:r>
      <w:r w:rsidR="003427CA" w:rsidRPr="00C45093">
        <w:rPr>
          <w:rFonts w:ascii="Arial" w:hAnsi="Arial" w:cs="Arial"/>
        </w:rPr>
        <w:t>5</w:t>
      </w:r>
      <w:r w:rsidR="007B3816" w:rsidRPr="00C45093">
        <w:rPr>
          <w:rFonts w:ascii="Arial" w:hAnsi="Arial" w:cs="Arial"/>
        </w:rPr>
        <w:t> %</w:t>
      </w:r>
      <w:r w:rsidR="008E532D" w:rsidRPr="00C45093">
        <w:rPr>
          <w:rFonts w:ascii="Arial" w:hAnsi="Arial" w:cs="Arial"/>
        </w:rPr>
        <w:t xml:space="preserve"> </w:t>
      </w:r>
      <w:r w:rsidR="009C52B3" w:rsidRPr="00C45093">
        <w:rPr>
          <w:rFonts w:ascii="Arial" w:hAnsi="Arial" w:cs="Arial"/>
        </w:rPr>
        <w:t xml:space="preserve">(cf. graphique </w:t>
      </w:r>
      <w:r w:rsidR="00533807" w:rsidRPr="00C45093">
        <w:rPr>
          <w:rFonts w:ascii="Arial" w:hAnsi="Arial" w:cs="Arial"/>
        </w:rPr>
        <w:t>3</w:t>
      </w:r>
      <w:r w:rsidR="006F19EE" w:rsidRPr="00C45093">
        <w:rPr>
          <w:rFonts w:ascii="Arial" w:hAnsi="Arial" w:cs="Arial"/>
        </w:rPr>
        <w:t>)</w:t>
      </w:r>
      <w:r w:rsidR="003427CA" w:rsidRPr="00C45093">
        <w:rPr>
          <w:rFonts w:ascii="Arial" w:hAnsi="Arial" w:cs="Arial"/>
        </w:rPr>
        <w:t>, et</w:t>
      </w:r>
      <w:r w:rsidR="00F87897" w:rsidRPr="00C45093">
        <w:rPr>
          <w:rFonts w:ascii="Arial" w:hAnsi="Arial" w:cs="Arial"/>
        </w:rPr>
        <w:t xml:space="preserve"> demeure </w:t>
      </w:r>
      <w:r w:rsidR="00D963E0" w:rsidRPr="00C45093">
        <w:rPr>
          <w:rFonts w:ascii="Arial" w:hAnsi="Arial" w:cs="Arial"/>
        </w:rPr>
        <w:t>1,</w:t>
      </w:r>
      <w:r w:rsidR="003427CA" w:rsidRPr="00C45093">
        <w:rPr>
          <w:rFonts w:ascii="Arial" w:hAnsi="Arial" w:cs="Arial"/>
        </w:rPr>
        <w:t>5</w:t>
      </w:r>
      <w:r w:rsidR="00D963E0" w:rsidRPr="00C45093">
        <w:rPr>
          <w:rFonts w:ascii="Arial" w:hAnsi="Arial" w:cs="Arial"/>
        </w:rPr>
        <w:t xml:space="preserve"> point de pourcentage –</w:t>
      </w:r>
      <w:proofErr w:type="spellStart"/>
      <w:r w:rsidR="00D963E0" w:rsidRPr="00C45093">
        <w:rPr>
          <w:rFonts w:ascii="Arial" w:hAnsi="Arial" w:cs="Arial"/>
        </w:rPr>
        <w:t>ppct</w:t>
      </w:r>
      <w:proofErr w:type="spellEnd"/>
      <w:r w:rsidR="00311269" w:rsidRPr="00C45093">
        <w:rPr>
          <w:rFonts w:ascii="Arial" w:hAnsi="Arial" w:cs="Arial"/>
        </w:rPr>
        <w:t>–</w:t>
      </w:r>
      <w:r w:rsidR="00D963E0" w:rsidRPr="00C45093">
        <w:rPr>
          <w:rFonts w:ascii="Arial" w:hAnsi="Arial" w:cs="Arial"/>
        </w:rPr>
        <w:t xml:space="preserve"> en dessous de sa moyenne de long terme</w:t>
      </w:r>
      <w:r w:rsidR="00F87897" w:rsidRPr="00C45093">
        <w:rPr>
          <w:rFonts w:ascii="Arial" w:hAnsi="Arial" w:cs="Arial"/>
        </w:rPr>
        <w:t xml:space="preserve">. </w:t>
      </w:r>
      <w:r w:rsidR="00A80256" w:rsidRPr="00C45093">
        <w:rPr>
          <w:rFonts w:ascii="Arial" w:hAnsi="Arial" w:cs="Arial"/>
        </w:rPr>
        <w:t>Quant aux</w:t>
      </w:r>
      <w:r w:rsidR="007223EB" w:rsidRPr="00C45093">
        <w:rPr>
          <w:rFonts w:ascii="Arial" w:hAnsi="Arial" w:cs="Arial"/>
        </w:rPr>
        <w:t xml:space="preserve"> perspectives</w:t>
      </w:r>
      <w:r w:rsidR="00A80256" w:rsidRPr="00C45093">
        <w:rPr>
          <w:rFonts w:ascii="Arial" w:hAnsi="Arial" w:cs="Arial"/>
        </w:rPr>
        <w:t xml:space="preserve">, </w:t>
      </w:r>
      <w:r w:rsidR="00EC25C8" w:rsidRPr="00C45093">
        <w:rPr>
          <w:rFonts w:ascii="Arial" w:hAnsi="Arial" w:cs="Arial"/>
        </w:rPr>
        <w:t>les soldes d’opinion associés</w:t>
      </w:r>
      <w:r w:rsidR="007223EB" w:rsidRPr="00C45093">
        <w:rPr>
          <w:rFonts w:ascii="Arial" w:hAnsi="Arial" w:cs="Arial"/>
        </w:rPr>
        <w:t xml:space="preserve"> </w:t>
      </w:r>
      <w:r w:rsidR="00A80256" w:rsidRPr="00C45093">
        <w:rPr>
          <w:rFonts w:ascii="Arial" w:hAnsi="Arial" w:cs="Arial"/>
        </w:rPr>
        <w:t xml:space="preserve">restent </w:t>
      </w:r>
      <w:r w:rsidR="00A60F7B" w:rsidRPr="00C45093">
        <w:rPr>
          <w:rFonts w:ascii="Arial" w:hAnsi="Arial" w:cs="Arial"/>
        </w:rPr>
        <w:t xml:space="preserve">assez </w:t>
      </w:r>
      <w:r w:rsidR="00A80256" w:rsidRPr="00C45093">
        <w:rPr>
          <w:rFonts w:ascii="Arial" w:hAnsi="Arial" w:cs="Arial"/>
        </w:rPr>
        <w:t>proches de leur moyenne de long</w:t>
      </w:r>
      <w:r w:rsidR="009D547F" w:rsidRPr="00C45093">
        <w:rPr>
          <w:rFonts w:ascii="Arial" w:hAnsi="Arial" w:cs="Arial"/>
        </w:rPr>
        <w:t>ue période</w:t>
      </w:r>
      <w:r w:rsidR="007223EB" w:rsidRPr="00C45093">
        <w:rPr>
          <w:rFonts w:ascii="Arial" w:hAnsi="Arial" w:cs="Arial"/>
        </w:rPr>
        <w:t>.</w:t>
      </w:r>
    </w:p>
    <w:p w14:paraId="358846DD" w14:textId="77777777" w:rsidR="00293727" w:rsidRDefault="00293727">
      <w:pPr>
        <w:rPr>
          <w:rFonts w:ascii="Arial" w:hAnsi="Arial" w:cs="Arial"/>
        </w:rPr>
      </w:pPr>
      <w:r>
        <w:rPr>
          <w:rFonts w:ascii="Arial" w:hAnsi="Arial" w:cs="Arial"/>
        </w:rPr>
        <w:br w:type="page"/>
      </w:r>
    </w:p>
    <w:p w14:paraId="2B821209" w14:textId="211B75F0" w:rsidR="008F1090" w:rsidRPr="00A80256" w:rsidRDefault="008F1090" w:rsidP="00F72661">
      <w:pPr>
        <w:spacing w:after="0" w:line="360" w:lineRule="auto"/>
        <w:jc w:val="center"/>
        <w:rPr>
          <w:rFonts w:ascii="Arial" w:hAnsi="Arial" w:cs="Arial"/>
        </w:rPr>
      </w:pPr>
      <w:r w:rsidRPr="00A80256">
        <w:rPr>
          <w:rFonts w:ascii="Arial" w:hAnsi="Arial" w:cs="Arial"/>
        </w:rPr>
        <w:lastRenderedPageBreak/>
        <w:t xml:space="preserve">Graphique </w:t>
      </w:r>
      <w:r w:rsidR="00533807" w:rsidRPr="00A80256">
        <w:rPr>
          <w:rFonts w:ascii="Arial" w:hAnsi="Arial" w:cs="Arial"/>
        </w:rPr>
        <w:t>3</w:t>
      </w:r>
      <w:r w:rsidRPr="00A80256">
        <w:rPr>
          <w:rFonts w:ascii="Arial" w:hAnsi="Arial" w:cs="Arial"/>
        </w:rPr>
        <w:t xml:space="preserve"> – </w:t>
      </w:r>
      <w:r w:rsidRPr="00A80256">
        <w:rPr>
          <w:rFonts w:ascii="Arial" w:hAnsi="Arial" w:cs="Arial"/>
          <w:b/>
        </w:rPr>
        <w:t>Taux de chômage</w:t>
      </w:r>
      <w:r w:rsidR="008A780E">
        <w:rPr>
          <w:rFonts w:ascii="Arial" w:hAnsi="Arial" w:cs="Arial"/>
          <w:b/>
        </w:rPr>
        <w:t xml:space="preserve"> et perspectives</w:t>
      </w:r>
    </w:p>
    <w:p w14:paraId="37FA9D0A" w14:textId="0B4C137C" w:rsidR="008F1090" w:rsidRDefault="00390730" w:rsidP="0023257F">
      <w:pPr>
        <w:spacing w:after="60" w:line="240" w:lineRule="auto"/>
        <w:jc w:val="both"/>
        <w:rPr>
          <w:rFonts w:ascii="Arial" w:hAnsi="Arial" w:cs="Arial"/>
        </w:rPr>
      </w:pPr>
      <w:r w:rsidRPr="00390730">
        <w:rPr>
          <w:rFonts w:ascii="Arial" w:hAnsi="Arial" w:cs="Arial"/>
          <w:noProof/>
        </w:rPr>
        <w:drawing>
          <wp:inline distT="0" distB="0" distL="0" distR="0" wp14:anchorId="685F8934" wp14:editId="1E482945">
            <wp:extent cx="5760720" cy="3064510"/>
            <wp:effectExtent l="0" t="0" r="0" b="2540"/>
            <wp:docPr id="15820878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24676432" w14:textId="3BBDD8B1" w:rsidR="008F1090" w:rsidRDefault="008F1090" w:rsidP="008F1090">
      <w:pPr>
        <w:spacing w:after="120" w:line="360" w:lineRule="auto"/>
        <w:jc w:val="center"/>
        <w:rPr>
          <w:rFonts w:ascii="Arial" w:hAnsi="Arial" w:cs="Arial"/>
          <w:highlight w:val="yellow"/>
        </w:rPr>
      </w:pPr>
      <w:r w:rsidRPr="007847E1">
        <w:rPr>
          <w:rFonts w:ascii="Arial" w:hAnsi="Arial" w:cs="Arial"/>
          <w:i/>
          <w:sz w:val="20"/>
        </w:rPr>
        <w:t xml:space="preserve">Source : </w:t>
      </w:r>
      <w:r w:rsidR="00BB39E8">
        <w:rPr>
          <w:rFonts w:ascii="Arial" w:hAnsi="Arial" w:cs="Arial"/>
          <w:i/>
          <w:sz w:val="20"/>
        </w:rPr>
        <w:t xml:space="preserve">calculs FFB d’après </w:t>
      </w:r>
      <w:r>
        <w:rPr>
          <w:rFonts w:ascii="Arial" w:hAnsi="Arial" w:cs="Arial"/>
          <w:i/>
          <w:sz w:val="20"/>
        </w:rPr>
        <w:t>Insee</w:t>
      </w:r>
    </w:p>
    <w:p w14:paraId="0B68D6D6" w14:textId="306B49D8" w:rsidR="00832D81" w:rsidRPr="00061970" w:rsidRDefault="006153BB" w:rsidP="00216979">
      <w:pPr>
        <w:spacing w:after="120" w:line="360" w:lineRule="auto"/>
        <w:jc w:val="both"/>
        <w:rPr>
          <w:rFonts w:ascii="Arial" w:hAnsi="Arial" w:cs="Arial"/>
        </w:rPr>
      </w:pPr>
      <w:r w:rsidRPr="00144715">
        <w:rPr>
          <w:rFonts w:ascii="Arial" w:hAnsi="Arial" w:cs="Arial"/>
        </w:rPr>
        <w:t xml:space="preserve">Après un léger repli </w:t>
      </w:r>
      <w:r w:rsidR="00061970" w:rsidRPr="00144715">
        <w:rPr>
          <w:rFonts w:ascii="Arial" w:hAnsi="Arial" w:cs="Arial"/>
        </w:rPr>
        <w:t xml:space="preserve">au cours des </w:t>
      </w:r>
      <w:r w:rsidRPr="00144715">
        <w:rPr>
          <w:rFonts w:ascii="Arial" w:hAnsi="Arial" w:cs="Arial"/>
        </w:rPr>
        <w:t>trimestres</w:t>
      </w:r>
      <w:r w:rsidR="00061970" w:rsidRPr="00144715">
        <w:rPr>
          <w:rFonts w:ascii="Arial" w:hAnsi="Arial" w:cs="Arial"/>
        </w:rPr>
        <w:t xml:space="preserve"> précédents</w:t>
      </w:r>
      <w:r w:rsidRPr="00144715">
        <w:rPr>
          <w:rFonts w:ascii="Arial" w:hAnsi="Arial" w:cs="Arial"/>
        </w:rPr>
        <w:t>, le</w:t>
      </w:r>
      <w:r w:rsidR="007B70EC" w:rsidRPr="00144715">
        <w:rPr>
          <w:rFonts w:ascii="Arial" w:hAnsi="Arial" w:cs="Arial"/>
        </w:rPr>
        <w:t xml:space="preserve"> </w:t>
      </w:r>
      <w:r w:rsidR="00832D81" w:rsidRPr="00144715">
        <w:rPr>
          <w:rFonts w:ascii="Arial" w:hAnsi="Arial" w:cs="Arial"/>
        </w:rPr>
        <w:t>taux d’épargne des ménages</w:t>
      </w:r>
      <w:r w:rsidR="007B70EC" w:rsidRPr="00144715">
        <w:rPr>
          <w:rFonts w:ascii="Arial" w:hAnsi="Arial" w:cs="Arial"/>
        </w:rPr>
        <w:t xml:space="preserve"> </w:t>
      </w:r>
      <w:r w:rsidR="00061970" w:rsidRPr="00144715">
        <w:rPr>
          <w:rFonts w:ascii="Arial" w:hAnsi="Arial" w:cs="Arial"/>
        </w:rPr>
        <w:t>augmente</w:t>
      </w:r>
      <w:r w:rsidR="007B70EC" w:rsidRPr="00144715">
        <w:rPr>
          <w:rFonts w:ascii="Arial" w:hAnsi="Arial" w:cs="Arial"/>
        </w:rPr>
        <w:t xml:space="preserve"> </w:t>
      </w:r>
      <w:r w:rsidR="00A91FE2" w:rsidRPr="00144715">
        <w:rPr>
          <w:rFonts w:ascii="Arial" w:hAnsi="Arial" w:cs="Arial"/>
        </w:rPr>
        <w:t>un peu</w:t>
      </w:r>
      <w:r w:rsidR="00262597" w:rsidRPr="00144715">
        <w:rPr>
          <w:rFonts w:ascii="Arial" w:hAnsi="Arial" w:cs="Arial"/>
        </w:rPr>
        <w:t xml:space="preserve"> </w:t>
      </w:r>
      <w:r w:rsidR="00061970" w:rsidRPr="00144715">
        <w:rPr>
          <w:rFonts w:ascii="Arial" w:hAnsi="Arial" w:cs="Arial"/>
        </w:rPr>
        <w:t xml:space="preserve">sur la fin de l’année 2023 </w:t>
      </w:r>
      <w:r w:rsidR="00A91FE2" w:rsidRPr="00144715">
        <w:rPr>
          <w:rFonts w:ascii="Arial" w:hAnsi="Arial" w:cs="Arial"/>
        </w:rPr>
        <w:t>(</w:t>
      </w:r>
      <w:r w:rsidR="00061970" w:rsidRPr="00144715">
        <w:rPr>
          <w:rFonts w:ascii="Arial" w:hAnsi="Arial" w:cs="Arial"/>
        </w:rPr>
        <w:t>+</w:t>
      </w:r>
      <w:r w:rsidR="007B70EC" w:rsidRPr="00144715">
        <w:rPr>
          <w:rFonts w:ascii="Arial" w:hAnsi="Arial" w:cs="Arial"/>
        </w:rPr>
        <w:t>0,</w:t>
      </w:r>
      <w:r w:rsidR="00061970" w:rsidRPr="00144715">
        <w:rPr>
          <w:rFonts w:ascii="Arial" w:hAnsi="Arial" w:cs="Arial"/>
        </w:rPr>
        <w:t>6</w:t>
      </w:r>
      <w:r w:rsidR="007B70EC" w:rsidRPr="00144715">
        <w:rPr>
          <w:rFonts w:ascii="Arial" w:hAnsi="Arial" w:cs="Arial"/>
        </w:rPr>
        <w:t xml:space="preserve"> </w:t>
      </w:r>
      <w:proofErr w:type="spellStart"/>
      <w:r w:rsidR="007B70EC" w:rsidRPr="00144715">
        <w:rPr>
          <w:rFonts w:ascii="Arial" w:hAnsi="Arial" w:cs="Arial"/>
        </w:rPr>
        <w:t>ppct</w:t>
      </w:r>
      <w:proofErr w:type="spellEnd"/>
      <w:r w:rsidR="007B70EC" w:rsidRPr="00144715">
        <w:rPr>
          <w:rFonts w:ascii="Arial" w:hAnsi="Arial" w:cs="Arial"/>
        </w:rPr>
        <w:t>, cf. graphique 4)</w:t>
      </w:r>
      <w:r w:rsidR="004D6485" w:rsidRPr="00144715">
        <w:rPr>
          <w:rFonts w:ascii="Arial" w:hAnsi="Arial" w:cs="Arial"/>
        </w:rPr>
        <w:t>,</w:t>
      </w:r>
      <w:r w:rsidR="003A05C8" w:rsidRPr="00144715">
        <w:rPr>
          <w:rFonts w:ascii="Arial" w:hAnsi="Arial" w:cs="Arial"/>
        </w:rPr>
        <w:t xml:space="preserve"> à 1</w:t>
      </w:r>
      <w:r w:rsidR="00C96EEA" w:rsidRPr="00144715">
        <w:rPr>
          <w:rFonts w:ascii="Arial" w:hAnsi="Arial" w:cs="Arial"/>
        </w:rPr>
        <w:t>7</w:t>
      </w:r>
      <w:r w:rsidR="003A05C8" w:rsidRPr="00144715">
        <w:rPr>
          <w:rFonts w:ascii="Arial" w:hAnsi="Arial" w:cs="Arial"/>
        </w:rPr>
        <w:t>,</w:t>
      </w:r>
      <w:r w:rsidR="00061970" w:rsidRPr="00144715">
        <w:rPr>
          <w:rFonts w:ascii="Arial" w:hAnsi="Arial" w:cs="Arial"/>
        </w:rPr>
        <w:t>9</w:t>
      </w:r>
      <w:r w:rsidR="003A05C8" w:rsidRPr="00144715">
        <w:rPr>
          <w:rFonts w:ascii="Arial" w:hAnsi="Arial" w:cs="Arial"/>
        </w:rPr>
        <w:t> %</w:t>
      </w:r>
      <w:r w:rsidR="00174267" w:rsidRPr="00144715">
        <w:rPr>
          <w:rFonts w:ascii="Arial" w:hAnsi="Arial" w:cs="Arial"/>
        </w:rPr>
        <w:t>,</w:t>
      </w:r>
      <w:r w:rsidR="00061970" w:rsidRPr="00144715">
        <w:rPr>
          <w:rFonts w:ascii="Arial" w:hAnsi="Arial" w:cs="Arial"/>
        </w:rPr>
        <w:t xml:space="preserve"> et s’affiche</w:t>
      </w:r>
      <w:r w:rsidR="00C96EEA" w:rsidRPr="00144715">
        <w:rPr>
          <w:rFonts w:ascii="Arial" w:hAnsi="Arial" w:cs="Arial"/>
        </w:rPr>
        <w:t xml:space="preserve"> </w:t>
      </w:r>
      <w:r w:rsidR="00061970" w:rsidRPr="00144715">
        <w:rPr>
          <w:rFonts w:ascii="Arial" w:hAnsi="Arial" w:cs="Arial"/>
        </w:rPr>
        <w:t>3</w:t>
      </w:r>
      <w:r w:rsidR="003A05C8" w:rsidRPr="00144715">
        <w:rPr>
          <w:rFonts w:ascii="Arial" w:hAnsi="Arial" w:cs="Arial"/>
        </w:rPr>
        <w:t xml:space="preserve"> </w:t>
      </w:r>
      <w:proofErr w:type="spellStart"/>
      <w:r w:rsidR="003A05C8" w:rsidRPr="00144715">
        <w:rPr>
          <w:rFonts w:ascii="Arial" w:hAnsi="Arial" w:cs="Arial"/>
        </w:rPr>
        <w:t>ppct</w:t>
      </w:r>
      <w:proofErr w:type="spellEnd"/>
      <w:r w:rsidR="003A05C8" w:rsidRPr="00144715">
        <w:rPr>
          <w:rFonts w:ascii="Arial" w:hAnsi="Arial" w:cs="Arial"/>
        </w:rPr>
        <w:t xml:space="preserve"> </w:t>
      </w:r>
      <w:r w:rsidR="00A91FE2" w:rsidRPr="00144715">
        <w:rPr>
          <w:rFonts w:ascii="Arial" w:hAnsi="Arial" w:cs="Arial"/>
        </w:rPr>
        <w:t xml:space="preserve">au-dessus de sa moyenne de longue période. </w:t>
      </w:r>
      <w:r w:rsidR="00832D81" w:rsidRPr="00144715">
        <w:rPr>
          <w:rFonts w:ascii="Arial" w:hAnsi="Arial" w:cs="Arial"/>
        </w:rPr>
        <w:t xml:space="preserve">Le constat </w:t>
      </w:r>
      <w:r w:rsidR="003131BC" w:rsidRPr="00144715">
        <w:rPr>
          <w:rFonts w:ascii="Arial" w:hAnsi="Arial" w:cs="Arial"/>
        </w:rPr>
        <w:t>vaut aussi</w:t>
      </w:r>
      <w:r w:rsidR="00832D81" w:rsidRPr="00144715">
        <w:rPr>
          <w:rFonts w:ascii="Arial" w:hAnsi="Arial" w:cs="Arial"/>
        </w:rPr>
        <w:t xml:space="preserve"> pour le taux d’épargne financière, à </w:t>
      </w:r>
      <w:r w:rsidR="00174267" w:rsidRPr="00144715">
        <w:rPr>
          <w:rFonts w:ascii="Arial" w:hAnsi="Arial" w:cs="Arial"/>
        </w:rPr>
        <w:t>7</w:t>
      </w:r>
      <w:r w:rsidR="00832D81" w:rsidRPr="00144715">
        <w:rPr>
          <w:rFonts w:ascii="Arial" w:hAnsi="Arial" w:cs="Arial"/>
        </w:rPr>
        <w:t>,</w:t>
      </w:r>
      <w:r w:rsidR="00174267" w:rsidRPr="00144715">
        <w:rPr>
          <w:rFonts w:ascii="Arial" w:hAnsi="Arial" w:cs="Arial"/>
        </w:rPr>
        <w:t>5</w:t>
      </w:r>
      <w:r w:rsidR="007B3816" w:rsidRPr="00144715">
        <w:rPr>
          <w:rFonts w:ascii="Arial" w:hAnsi="Arial" w:cs="Arial"/>
        </w:rPr>
        <w:t> %</w:t>
      </w:r>
      <w:r w:rsidR="00832D81" w:rsidRPr="00144715">
        <w:rPr>
          <w:rFonts w:ascii="Arial" w:hAnsi="Arial" w:cs="Arial"/>
        </w:rPr>
        <w:t>.</w:t>
      </w:r>
      <w:r w:rsidR="00832D81" w:rsidRPr="00061970">
        <w:rPr>
          <w:rFonts w:ascii="Arial" w:hAnsi="Arial" w:cs="Arial"/>
        </w:rPr>
        <w:t xml:space="preserve"> </w:t>
      </w:r>
    </w:p>
    <w:p w14:paraId="50067B5A" w14:textId="77777777" w:rsidR="00832D81" w:rsidRPr="0087764D" w:rsidRDefault="00832D81" w:rsidP="00F72661">
      <w:pPr>
        <w:tabs>
          <w:tab w:val="left" w:pos="1843"/>
        </w:tabs>
        <w:spacing w:after="0" w:line="360" w:lineRule="auto"/>
        <w:jc w:val="center"/>
        <w:rPr>
          <w:rFonts w:ascii="Arial" w:hAnsi="Arial" w:cs="Arial"/>
        </w:rPr>
      </w:pPr>
      <w:r>
        <w:rPr>
          <w:rFonts w:ascii="Arial" w:hAnsi="Arial" w:cs="Arial"/>
        </w:rPr>
        <w:t>Graphique 4</w:t>
      </w:r>
      <w:r w:rsidRPr="0087764D">
        <w:rPr>
          <w:rFonts w:ascii="Arial" w:hAnsi="Arial" w:cs="Arial"/>
        </w:rPr>
        <w:t xml:space="preserve"> – </w:t>
      </w:r>
      <w:r w:rsidRPr="0087764D">
        <w:rPr>
          <w:rFonts w:ascii="Arial" w:hAnsi="Arial" w:cs="Arial"/>
          <w:b/>
        </w:rPr>
        <w:t>Taux d’épargne des ménages</w:t>
      </w:r>
    </w:p>
    <w:p w14:paraId="23B6FA99" w14:textId="5F0472C2" w:rsidR="00832D81" w:rsidRDefault="006C1DFC" w:rsidP="00832D81">
      <w:pPr>
        <w:spacing w:after="60" w:line="240" w:lineRule="auto"/>
        <w:jc w:val="both"/>
        <w:rPr>
          <w:rFonts w:ascii="Arial" w:hAnsi="Arial" w:cs="Arial"/>
        </w:rPr>
      </w:pPr>
      <w:r w:rsidRPr="006C1DFC">
        <w:rPr>
          <w:rFonts w:ascii="Arial" w:hAnsi="Arial" w:cs="Arial"/>
          <w:noProof/>
        </w:rPr>
        <w:drawing>
          <wp:inline distT="0" distB="0" distL="0" distR="0" wp14:anchorId="65C8DF97" wp14:editId="13743DB3">
            <wp:extent cx="5760720" cy="3046730"/>
            <wp:effectExtent l="0" t="0" r="0" b="1270"/>
            <wp:docPr id="19500156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046730"/>
                    </a:xfrm>
                    <a:prstGeom prst="rect">
                      <a:avLst/>
                    </a:prstGeom>
                    <a:noFill/>
                    <a:ln>
                      <a:noFill/>
                    </a:ln>
                  </pic:spPr>
                </pic:pic>
              </a:graphicData>
            </a:graphic>
          </wp:inline>
        </w:drawing>
      </w:r>
    </w:p>
    <w:p w14:paraId="3DB87D53" w14:textId="77777777" w:rsidR="00832D81" w:rsidRDefault="00832D81" w:rsidP="00832D81">
      <w:pPr>
        <w:spacing w:after="120" w:line="360" w:lineRule="auto"/>
        <w:jc w:val="center"/>
        <w:rPr>
          <w:rFonts w:ascii="Arial" w:hAnsi="Arial" w:cs="Arial"/>
          <w:highlight w:val="yellow"/>
        </w:rPr>
      </w:pPr>
      <w:r w:rsidRPr="007847E1">
        <w:rPr>
          <w:rFonts w:ascii="Arial" w:hAnsi="Arial" w:cs="Arial"/>
          <w:i/>
          <w:sz w:val="20"/>
        </w:rPr>
        <w:t xml:space="preserve">Source : </w:t>
      </w:r>
      <w:r>
        <w:rPr>
          <w:rFonts w:ascii="Arial" w:hAnsi="Arial" w:cs="Arial"/>
          <w:i/>
          <w:sz w:val="20"/>
        </w:rPr>
        <w:t>Insee</w:t>
      </w:r>
    </w:p>
    <w:p w14:paraId="56A54B73" w14:textId="12163309" w:rsidR="00B02EA3" w:rsidRDefault="0049288F" w:rsidP="00B02EA3">
      <w:pPr>
        <w:tabs>
          <w:tab w:val="left" w:pos="3261"/>
        </w:tabs>
        <w:spacing w:after="120" w:line="360" w:lineRule="auto"/>
        <w:jc w:val="both"/>
        <w:rPr>
          <w:rFonts w:ascii="Arial" w:hAnsi="Arial" w:cs="Arial"/>
        </w:rPr>
      </w:pPr>
      <w:r w:rsidRPr="0095774A">
        <w:rPr>
          <w:rFonts w:ascii="Arial" w:hAnsi="Arial" w:cs="Arial"/>
        </w:rPr>
        <w:t xml:space="preserve">Après une </w:t>
      </w:r>
      <w:r w:rsidR="00365449" w:rsidRPr="0095774A">
        <w:rPr>
          <w:rFonts w:ascii="Arial" w:hAnsi="Arial" w:cs="Arial"/>
        </w:rPr>
        <w:t xml:space="preserve">remontée </w:t>
      </w:r>
      <w:r w:rsidR="00094B02" w:rsidRPr="0095774A">
        <w:rPr>
          <w:rFonts w:ascii="Arial" w:hAnsi="Arial" w:cs="Arial"/>
        </w:rPr>
        <w:t>quasi-</w:t>
      </w:r>
      <w:r w:rsidR="00365449" w:rsidRPr="0095774A">
        <w:rPr>
          <w:rFonts w:ascii="Arial" w:hAnsi="Arial" w:cs="Arial"/>
        </w:rPr>
        <w:t>continue</w:t>
      </w:r>
      <w:r w:rsidRPr="0095774A">
        <w:rPr>
          <w:rFonts w:ascii="Arial" w:hAnsi="Arial" w:cs="Arial"/>
        </w:rPr>
        <w:t xml:space="preserve"> entre </w:t>
      </w:r>
      <w:r w:rsidR="00365449" w:rsidRPr="0095774A">
        <w:rPr>
          <w:rFonts w:ascii="Arial" w:hAnsi="Arial" w:cs="Arial"/>
        </w:rPr>
        <w:t>j</w:t>
      </w:r>
      <w:r w:rsidR="00094B02" w:rsidRPr="0095774A">
        <w:rPr>
          <w:rFonts w:ascii="Arial" w:hAnsi="Arial" w:cs="Arial"/>
        </w:rPr>
        <w:t>anvier</w:t>
      </w:r>
      <w:r w:rsidRPr="0095774A">
        <w:rPr>
          <w:rFonts w:ascii="Arial" w:hAnsi="Arial" w:cs="Arial"/>
        </w:rPr>
        <w:t xml:space="preserve"> </w:t>
      </w:r>
      <w:r w:rsidR="00053EA0" w:rsidRPr="0095774A">
        <w:rPr>
          <w:rFonts w:ascii="Arial" w:hAnsi="Arial" w:cs="Arial"/>
        </w:rPr>
        <w:t xml:space="preserve">2022 </w:t>
      </w:r>
      <w:r w:rsidRPr="0095774A">
        <w:rPr>
          <w:rFonts w:ascii="Arial" w:hAnsi="Arial" w:cs="Arial"/>
        </w:rPr>
        <w:t xml:space="preserve">et </w:t>
      </w:r>
      <w:r w:rsidR="00365449" w:rsidRPr="0095774A">
        <w:rPr>
          <w:rFonts w:ascii="Arial" w:hAnsi="Arial" w:cs="Arial"/>
        </w:rPr>
        <w:t>octobre</w:t>
      </w:r>
      <w:r w:rsidRPr="0095774A">
        <w:rPr>
          <w:rFonts w:ascii="Arial" w:hAnsi="Arial" w:cs="Arial"/>
        </w:rPr>
        <w:t xml:space="preserve"> 2023, l</w:t>
      </w:r>
      <w:r w:rsidR="006952A4" w:rsidRPr="0095774A">
        <w:rPr>
          <w:rFonts w:ascii="Arial" w:hAnsi="Arial" w:cs="Arial"/>
        </w:rPr>
        <w:t>e</w:t>
      </w:r>
      <w:r w:rsidR="009C52B3" w:rsidRPr="0095774A">
        <w:rPr>
          <w:rFonts w:ascii="Arial" w:hAnsi="Arial" w:cs="Arial"/>
        </w:rPr>
        <w:t xml:space="preserve"> taux de l’emprunt phare à dix </w:t>
      </w:r>
      <w:r w:rsidR="00CD7149" w:rsidRPr="0095774A">
        <w:rPr>
          <w:rFonts w:ascii="Arial" w:hAnsi="Arial" w:cs="Arial"/>
        </w:rPr>
        <w:t xml:space="preserve">ans </w:t>
      </w:r>
      <w:r w:rsidR="00311269" w:rsidRPr="0095774A">
        <w:rPr>
          <w:rFonts w:ascii="Arial" w:hAnsi="Arial" w:cs="Arial"/>
        </w:rPr>
        <w:t xml:space="preserve">(obligations de l’État français estimées sans risque) </w:t>
      </w:r>
      <w:r w:rsidR="000764A1" w:rsidRPr="0095774A">
        <w:rPr>
          <w:rFonts w:ascii="Arial" w:hAnsi="Arial" w:cs="Arial"/>
        </w:rPr>
        <w:t xml:space="preserve">a </w:t>
      </w:r>
      <w:r w:rsidR="00365449" w:rsidRPr="0095774A">
        <w:rPr>
          <w:rFonts w:ascii="Arial" w:hAnsi="Arial" w:cs="Arial"/>
        </w:rPr>
        <w:t>recul</w:t>
      </w:r>
      <w:r w:rsidR="000764A1" w:rsidRPr="0095774A">
        <w:rPr>
          <w:rFonts w:ascii="Arial" w:hAnsi="Arial" w:cs="Arial"/>
        </w:rPr>
        <w:t>é</w:t>
      </w:r>
      <w:r w:rsidR="00365449" w:rsidRPr="0095774A">
        <w:rPr>
          <w:rFonts w:ascii="Arial" w:hAnsi="Arial" w:cs="Arial"/>
        </w:rPr>
        <w:t xml:space="preserve"> </w:t>
      </w:r>
      <w:r w:rsidR="000764A1" w:rsidRPr="0095774A">
        <w:rPr>
          <w:rFonts w:ascii="Arial" w:hAnsi="Arial" w:cs="Arial"/>
        </w:rPr>
        <w:t xml:space="preserve">sur la fin de </w:t>
      </w:r>
      <w:r w:rsidR="000764A1" w:rsidRPr="0095774A">
        <w:rPr>
          <w:rFonts w:ascii="Arial" w:hAnsi="Arial" w:cs="Arial"/>
        </w:rPr>
        <w:lastRenderedPageBreak/>
        <w:t>l’année 2023</w:t>
      </w:r>
      <w:r w:rsidR="009E5DE7">
        <w:rPr>
          <w:rFonts w:ascii="Arial" w:hAnsi="Arial" w:cs="Arial"/>
        </w:rPr>
        <w:t xml:space="preserve"> à 2,</w:t>
      </w:r>
      <w:r w:rsidR="009E5DE7" w:rsidRPr="00144715">
        <w:rPr>
          <w:rFonts w:ascii="Arial" w:hAnsi="Arial" w:cs="Arial"/>
        </w:rPr>
        <w:t>65 %</w:t>
      </w:r>
      <w:r w:rsidR="00170C72" w:rsidRPr="00144715">
        <w:rPr>
          <w:rFonts w:ascii="Arial" w:hAnsi="Arial" w:cs="Arial"/>
        </w:rPr>
        <w:t xml:space="preserve"> (cf. graphique 5)</w:t>
      </w:r>
      <w:r w:rsidR="000764A1" w:rsidRPr="00144715">
        <w:rPr>
          <w:rFonts w:ascii="Arial" w:hAnsi="Arial" w:cs="Arial"/>
        </w:rPr>
        <w:t>.</w:t>
      </w:r>
      <w:r w:rsidR="0095774A" w:rsidRPr="00144715">
        <w:rPr>
          <w:rFonts w:ascii="Arial" w:hAnsi="Arial" w:cs="Arial"/>
        </w:rPr>
        <w:t xml:space="preserve"> </w:t>
      </w:r>
      <w:r w:rsidR="00B02EA3" w:rsidRPr="00144715">
        <w:rPr>
          <w:rFonts w:ascii="Arial" w:hAnsi="Arial" w:cs="Arial"/>
        </w:rPr>
        <w:t xml:space="preserve">Le début 2024 semble toutefois marquer un </w:t>
      </w:r>
      <w:r w:rsidR="00144715">
        <w:rPr>
          <w:rFonts w:ascii="Arial" w:hAnsi="Arial" w:cs="Arial"/>
        </w:rPr>
        <w:t>rebond</w:t>
      </w:r>
      <w:r w:rsidR="00B02EA3" w:rsidRPr="00144715">
        <w:rPr>
          <w:rFonts w:ascii="Arial" w:hAnsi="Arial" w:cs="Arial"/>
        </w:rPr>
        <w:t xml:space="preserve">, avec </w:t>
      </w:r>
      <w:r w:rsidR="009E5DE7" w:rsidRPr="00144715">
        <w:rPr>
          <w:rFonts w:ascii="Arial" w:hAnsi="Arial" w:cs="Arial"/>
        </w:rPr>
        <w:t xml:space="preserve">respectivement 2,74 % et </w:t>
      </w:r>
      <w:r w:rsidR="00B02EA3" w:rsidRPr="00144715">
        <w:rPr>
          <w:rFonts w:ascii="Arial" w:hAnsi="Arial" w:cs="Arial"/>
        </w:rPr>
        <w:t>2,85 % en</w:t>
      </w:r>
      <w:r w:rsidR="009E5DE7" w:rsidRPr="00144715">
        <w:rPr>
          <w:rFonts w:ascii="Arial" w:hAnsi="Arial" w:cs="Arial"/>
        </w:rPr>
        <w:t xml:space="preserve"> janvier et</w:t>
      </w:r>
      <w:r w:rsidR="00B02EA3" w:rsidRPr="00144715">
        <w:rPr>
          <w:rFonts w:ascii="Arial" w:hAnsi="Arial" w:cs="Arial"/>
        </w:rPr>
        <w:t xml:space="preserve"> février.</w:t>
      </w:r>
      <w:r w:rsidR="00B02EA3" w:rsidRPr="00170C72">
        <w:rPr>
          <w:rFonts w:ascii="Arial" w:hAnsi="Arial" w:cs="Arial"/>
        </w:rPr>
        <w:t xml:space="preserve"> </w:t>
      </w:r>
    </w:p>
    <w:p w14:paraId="6C05893F" w14:textId="7381CA1C" w:rsidR="00B26F31" w:rsidRDefault="008A1067" w:rsidP="00601C65">
      <w:pPr>
        <w:spacing w:after="0" w:line="360" w:lineRule="auto"/>
        <w:jc w:val="center"/>
        <w:rPr>
          <w:rFonts w:ascii="Arial" w:hAnsi="Arial" w:cs="Arial"/>
        </w:rPr>
      </w:pPr>
      <w:r w:rsidRPr="000F18D0">
        <w:rPr>
          <w:rFonts w:ascii="Arial" w:hAnsi="Arial" w:cs="Arial"/>
        </w:rPr>
        <w:t xml:space="preserve">Graphique </w:t>
      </w:r>
      <w:r w:rsidR="00F30514">
        <w:rPr>
          <w:rFonts w:ascii="Arial" w:hAnsi="Arial" w:cs="Arial"/>
        </w:rPr>
        <w:t>5</w:t>
      </w:r>
      <w:r w:rsidRPr="000F18D0">
        <w:rPr>
          <w:rFonts w:ascii="Arial" w:hAnsi="Arial" w:cs="Arial"/>
        </w:rPr>
        <w:t xml:space="preserve"> </w:t>
      </w:r>
      <w:r w:rsidR="00582F3F" w:rsidRPr="000F18D0">
        <w:rPr>
          <w:rFonts w:ascii="Arial" w:hAnsi="Arial" w:cs="Arial"/>
        </w:rPr>
        <w:t>–</w:t>
      </w:r>
      <w:r w:rsidRPr="000F18D0">
        <w:rPr>
          <w:rFonts w:ascii="Arial" w:hAnsi="Arial" w:cs="Arial"/>
        </w:rPr>
        <w:t xml:space="preserve"> </w:t>
      </w:r>
      <w:r w:rsidR="00582F3F" w:rsidRPr="000F18D0">
        <w:rPr>
          <w:rFonts w:ascii="Arial" w:hAnsi="Arial" w:cs="Arial"/>
          <w:b/>
        </w:rPr>
        <w:t xml:space="preserve">Taux </w:t>
      </w:r>
      <w:r w:rsidR="00AF51CE" w:rsidRPr="000F18D0">
        <w:rPr>
          <w:rFonts w:ascii="Arial" w:hAnsi="Arial" w:cs="Arial"/>
          <w:b/>
        </w:rPr>
        <w:t>d’intérêt</w:t>
      </w:r>
    </w:p>
    <w:p w14:paraId="54103E12" w14:textId="7440848C" w:rsidR="00582F3F" w:rsidRDefault="003D3595" w:rsidP="0023257F">
      <w:pPr>
        <w:spacing w:after="60" w:line="240" w:lineRule="auto"/>
        <w:jc w:val="both"/>
        <w:rPr>
          <w:rFonts w:ascii="Arial" w:hAnsi="Arial" w:cs="Arial"/>
        </w:rPr>
      </w:pPr>
      <w:r w:rsidRPr="003D3595">
        <w:rPr>
          <w:rFonts w:ascii="Arial" w:hAnsi="Arial" w:cs="Arial"/>
          <w:noProof/>
        </w:rPr>
        <w:drawing>
          <wp:inline distT="0" distB="0" distL="0" distR="0" wp14:anchorId="5D3A232C" wp14:editId="7A84E324">
            <wp:extent cx="5760720" cy="3091815"/>
            <wp:effectExtent l="0" t="0" r="0" b="0"/>
            <wp:docPr id="12620281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091815"/>
                    </a:xfrm>
                    <a:prstGeom prst="rect">
                      <a:avLst/>
                    </a:prstGeom>
                    <a:noFill/>
                    <a:ln>
                      <a:noFill/>
                    </a:ln>
                  </pic:spPr>
                </pic:pic>
              </a:graphicData>
            </a:graphic>
          </wp:inline>
        </w:drawing>
      </w:r>
    </w:p>
    <w:p w14:paraId="508BC01D" w14:textId="018CE57D" w:rsidR="00AC3A2C" w:rsidRDefault="00AF51CE" w:rsidP="00AC3A2C">
      <w:pPr>
        <w:spacing w:after="120" w:line="360" w:lineRule="auto"/>
        <w:jc w:val="center"/>
        <w:rPr>
          <w:rFonts w:ascii="Arial" w:hAnsi="Arial" w:cs="Arial"/>
          <w:i/>
          <w:sz w:val="20"/>
        </w:rPr>
      </w:pPr>
      <w:r w:rsidRPr="007847E1">
        <w:rPr>
          <w:rFonts w:ascii="Arial" w:hAnsi="Arial" w:cs="Arial"/>
          <w:i/>
          <w:sz w:val="20"/>
        </w:rPr>
        <w:t xml:space="preserve">Source : Banque centrale européenne, Banque de </w:t>
      </w:r>
      <w:r w:rsidR="00AC3A2C">
        <w:rPr>
          <w:rFonts w:ascii="Arial" w:hAnsi="Arial" w:cs="Arial"/>
          <w:i/>
          <w:sz w:val="20"/>
        </w:rPr>
        <w:t>France</w:t>
      </w:r>
    </w:p>
    <w:p w14:paraId="23C89CDD" w14:textId="7601C1DF" w:rsidR="00D967C4" w:rsidRPr="00542607" w:rsidRDefault="00197319" w:rsidP="00D967C4">
      <w:pPr>
        <w:tabs>
          <w:tab w:val="left" w:pos="3261"/>
        </w:tabs>
        <w:spacing w:after="120" w:line="360" w:lineRule="auto"/>
        <w:jc w:val="both"/>
        <w:rPr>
          <w:rFonts w:ascii="Arial" w:hAnsi="Arial" w:cs="Arial"/>
        </w:rPr>
      </w:pPr>
      <w:r w:rsidRPr="00542607">
        <w:rPr>
          <w:rFonts w:ascii="Arial" w:hAnsi="Arial" w:cs="Arial"/>
        </w:rPr>
        <w:t>Quant au</w:t>
      </w:r>
      <w:r w:rsidR="00DE6369" w:rsidRPr="00542607">
        <w:rPr>
          <w:rFonts w:ascii="Arial" w:hAnsi="Arial" w:cs="Arial"/>
        </w:rPr>
        <w:t xml:space="preserve"> </w:t>
      </w:r>
      <w:r w:rsidR="009C52B3" w:rsidRPr="00542607">
        <w:rPr>
          <w:rFonts w:ascii="Arial" w:hAnsi="Arial" w:cs="Arial"/>
        </w:rPr>
        <w:t xml:space="preserve">taux </w:t>
      </w:r>
      <w:r w:rsidR="006E4723" w:rsidRPr="00542607">
        <w:rPr>
          <w:rFonts w:ascii="Arial" w:hAnsi="Arial" w:cs="Arial"/>
        </w:rPr>
        <w:t xml:space="preserve">moyen </w:t>
      </w:r>
      <w:r w:rsidR="009C52B3" w:rsidRPr="00542607">
        <w:rPr>
          <w:rFonts w:ascii="Arial" w:hAnsi="Arial" w:cs="Arial"/>
        </w:rPr>
        <w:t>des crédits immobiliers aux particuliers</w:t>
      </w:r>
      <w:r w:rsidR="00DE6369" w:rsidRPr="00542607">
        <w:rPr>
          <w:rFonts w:ascii="Arial" w:hAnsi="Arial" w:cs="Arial"/>
        </w:rPr>
        <w:t xml:space="preserve">, </w:t>
      </w:r>
      <w:r w:rsidR="00AF7E4F" w:rsidRPr="00542607">
        <w:rPr>
          <w:rFonts w:ascii="Arial" w:hAnsi="Arial" w:cs="Arial"/>
        </w:rPr>
        <w:t xml:space="preserve">hors assurance et coût des sûretés, </w:t>
      </w:r>
      <w:r w:rsidR="008032B8" w:rsidRPr="00542607">
        <w:rPr>
          <w:rFonts w:ascii="Arial" w:hAnsi="Arial" w:cs="Arial"/>
        </w:rPr>
        <w:t xml:space="preserve">sa progression </w:t>
      </w:r>
      <w:r w:rsidR="00C45093" w:rsidRPr="00542607">
        <w:rPr>
          <w:rFonts w:ascii="Arial" w:hAnsi="Arial" w:cs="Arial"/>
        </w:rPr>
        <w:t xml:space="preserve">semble </w:t>
      </w:r>
      <w:r w:rsidR="00C45093" w:rsidRPr="00185A47">
        <w:rPr>
          <w:rFonts w:ascii="Arial" w:hAnsi="Arial" w:cs="Arial"/>
        </w:rPr>
        <w:t xml:space="preserve">enrayée </w:t>
      </w:r>
      <w:r w:rsidR="00542607" w:rsidRPr="00185A47">
        <w:rPr>
          <w:rFonts w:ascii="Arial" w:hAnsi="Arial" w:cs="Arial"/>
        </w:rPr>
        <w:t>sur le début</w:t>
      </w:r>
      <w:r w:rsidR="008032B8" w:rsidRPr="00185A47">
        <w:rPr>
          <w:rFonts w:ascii="Arial" w:hAnsi="Arial" w:cs="Arial"/>
        </w:rPr>
        <w:t xml:space="preserve"> 2024 et </w:t>
      </w:r>
      <w:r w:rsidR="00C45093" w:rsidRPr="00185A47">
        <w:rPr>
          <w:rFonts w:ascii="Arial" w:hAnsi="Arial" w:cs="Arial"/>
        </w:rPr>
        <w:t xml:space="preserve">il </w:t>
      </w:r>
      <w:r w:rsidR="008032B8" w:rsidRPr="00185A47">
        <w:rPr>
          <w:rFonts w:ascii="Arial" w:hAnsi="Arial" w:cs="Arial"/>
        </w:rPr>
        <w:t xml:space="preserve">s’érode même de </w:t>
      </w:r>
      <w:r w:rsidR="00542607" w:rsidRPr="00185A47">
        <w:rPr>
          <w:rFonts w:ascii="Arial" w:hAnsi="Arial" w:cs="Arial"/>
        </w:rPr>
        <w:t>13</w:t>
      </w:r>
      <w:r w:rsidR="008032B8" w:rsidRPr="00185A47">
        <w:rPr>
          <w:rFonts w:ascii="Arial" w:hAnsi="Arial" w:cs="Arial"/>
        </w:rPr>
        <w:t xml:space="preserve"> points de base </w:t>
      </w:r>
      <w:r w:rsidRPr="00185A47">
        <w:rPr>
          <w:rFonts w:ascii="Arial" w:hAnsi="Arial" w:cs="Arial"/>
        </w:rPr>
        <w:t xml:space="preserve">pour </w:t>
      </w:r>
      <w:r w:rsidR="008032B8" w:rsidRPr="00185A47">
        <w:rPr>
          <w:rFonts w:ascii="Arial" w:hAnsi="Arial" w:cs="Arial"/>
        </w:rPr>
        <w:t xml:space="preserve">atteindre </w:t>
      </w:r>
      <w:r w:rsidR="00BC0B2F" w:rsidRPr="00185A47">
        <w:rPr>
          <w:rFonts w:ascii="Arial" w:hAnsi="Arial" w:cs="Arial"/>
        </w:rPr>
        <w:t>4,</w:t>
      </w:r>
      <w:r w:rsidR="00542607" w:rsidRPr="00185A47">
        <w:rPr>
          <w:rFonts w:ascii="Arial" w:hAnsi="Arial" w:cs="Arial"/>
        </w:rPr>
        <w:t>07</w:t>
      </w:r>
      <w:r w:rsidRPr="00185A47">
        <w:rPr>
          <w:rFonts w:ascii="Arial" w:hAnsi="Arial" w:cs="Arial"/>
        </w:rPr>
        <w:t> </w:t>
      </w:r>
      <w:r w:rsidR="007B3816" w:rsidRPr="00185A47">
        <w:rPr>
          <w:rFonts w:ascii="Arial" w:hAnsi="Arial" w:cs="Arial"/>
        </w:rPr>
        <w:t>%</w:t>
      </w:r>
      <w:r w:rsidR="009C52B3" w:rsidRPr="00185A47">
        <w:rPr>
          <w:rFonts w:ascii="Arial" w:hAnsi="Arial" w:cs="Arial"/>
        </w:rPr>
        <w:t xml:space="preserve"> </w:t>
      </w:r>
      <w:r w:rsidR="00DE6369" w:rsidRPr="00185A47">
        <w:rPr>
          <w:rFonts w:ascii="Arial" w:hAnsi="Arial" w:cs="Arial"/>
        </w:rPr>
        <w:t xml:space="preserve">en </w:t>
      </w:r>
      <w:r w:rsidR="00273053" w:rsidRPr="00185A47">
        <w:rPr>
          <w:rFonts w:ascii="Arial" w:hAnsi="Arial" w:cs="Arial"/>
        </w:rPr>
        <w:t xml:space="preserve">moyenne </w:t>
      </w:r>
      <w:r w:rsidR="009E6630" w:rsidRPr="00185A47">
        <w:rPr>
          <w:rFonts w:ascii="Arial" w:hAnsi="Arial" w:cs="Arial"/>
        </w:rPr>
        <w:t xml:space="preserve">(cf. graphique </w:t>
      </w:r>
      <w:r w:rsidR="00F30514" w:rsidRPr="00185A47">
        <w:rPr>
          <w:rFonts w:ascii="Arial" w:hAnsi="Arial" w:cs="Arial"/>
        </w:rPr>
        <w:t>6</w:t>
      </w:r>
      <w:r w:rsidR="009C52B3" w:rsidRPr="00185A47">
        <w:rPr>
          <w:rFonts w:ascii="Arial" w:hAnsi="Arial" w:cs="Arial"/>
        </w:rPr>
        <w:t>)</w:t>
      </w:r>
      <w:r w:rsidR="00C45093" w:rsidRPr="00185A47">
        <w:rPr>
          <w:rFonts w:ascii="Arial" w:hAnsi="Arial" w:cs="Arial"/>
        </w:rPr>
        <w:t>,</w:t>
      </w:r>
      <w:r w:rsidR="003778BC" w:rsidRPr="00185A47">
        <w:rPr>
          <w:rFonts w:ascii="Arial" w:hAnsi="Arial" w:cs="Arial"/>
        </w:rPr>
        <w:t xml:space="preserve"> alors que la durée des prêts </w:t>
      </w:r>
      <w:r w:rsidR="001203C6" w:rsidRPr="00185A47">
        <w:rPr>
          <w:rFonts w:ascii="Arial" w:hAnsi="Arial" w:cs="Arial"/>
        </w:rPr>
        <w:t>diminue légèrement</w:t>
      </w:r>
      <w:r w:rsidR="003778BC" w:rsidRPr="00185A47">
        <w:rPr>
          <w:rFonts w:ascii="Arial" w:hAnsi="Arial" w:cs="Arial"/>
        </w:rPr>
        <w:t xml:space="preserve"> à 24</w:t>
      </w:r>
      <w:r w:rsidR="00542607" w:rsidRPr="00185A47">
        <w:rPr>
          <w:rFonts w:ascii="Arial" w:hAnsi="Arial" w:cs="Arial"/>
        </w:rPr>
        <w:t>7</w:t>
      </w:r>
      <w:r w:rsidR="003778BC" w:rsidRPr="00185A47">
        <w:rPr>
          <w:rFonts w:ascii="Arial" w:hAnsi="Arial" w:cs="Arial"/>
        </w:rPr>
        <w:t xml:space="preserve"> mois</w:t>
      </w:r>
      <w:r w:rsidR="00CB705F" w:rsidRPr="00185A47">
        <w:rPr>
          <w:rFonts w:ascii="Arial" w:hAnsi="Arial" w:cs="Arial"/>
        </w:rPr>
        <w:t>.</w:t>
      </w:r>
      <w:r w:rsidR="00CB705F" w:rsidRPr="00542607">
        <w:rPr>
          <w:rFonts w:ascii="Arial" w:hAnsi="Arial" w:cs="Arial"/>
        </w:rPr>
        <w:t xml:space="preserve"> </w:t>
      </w:r>
    </w:p>
    <w:p w14:paraId="2C22662B" w14:textId="6D61B643" w:rsidR="00CA2C76" w:rsidRPr="000F18D0" w:rsidRDefault="00066C83" w:rsidP="00066C83">
      <w:pPr>
        <w:spacing w:after="0" w:line="360" w:lineRule="auto"/>
        <w:jc w:val="center"/>
        <w:rPr>
          <w:rFonts w:ascii="Arial" w:hAnsi="Arial" w:cs="Arial"/>
        </w:rPr>
      </w:pPr>
      <w:r>
        <w:rPr>
          <w:rFonts w:ascii="Arial" w:hAnsi="Arial" w:cs="Arial"/>
        </w:rPr>
        <w:t>G</w:t>
      </w:r>
      <w:r w:rsidR="00CA2C76" w:rsidRPr="000F18D0">
        <w:rPr>
          <w:rFonts w:ascii="Arial" w:hAnsi="Arial" w:cs="Arial"/>
        </w:rPr>
        <w:t>raphi</w:t>
      </w:r>
      <w:r w:rsidR="00272F16">
        <w:rPr>
          <w:rFonts w:ascii="Arial" w:hAnsi="Arial" w:cs="Arial"/>
        </w:rPr>
        <w:t xml:space="preserve">que </w:t>
      </w:r>
      <w:r w:rsidR="00F30514">
        <w:rPr>
          <w:rFonts w:ascii="Arial" w:hAnsi="Arial" w:cs="Arial"/>
        </w:rPr>
        <w:t>6</w:t>
      </w:r>
      <w:r w:rsidR="00CA2C76" w:rsidRPr="000F18D0">
        <w:rPr>
          <w:rFonts w:ascii="Arial" w:hAnsi="Arial" w:cs="Arial"/>
        </w:rPr>
        <w:t xml:space="preserve"> – </w:t>
      </w:r>
      <w:r w:rsidR="001853A7" w:rsidRPr="009D55AC">
        <w:rPr>
          <w:rFonts w:ascii="Arial" w:hAnsi="Arial" w:cs="Arial"/>
          <w:b/>
        </w:rPr>
        <w:t xml:space="preserve">Taux </w:t>
      </w:r>
      <w:r w:rsidR="001853A7">
        <w:rPr>
          <w:rFonts w:ascii="Arial" w:hAnsi="Arial" w:cs="Arial"/>
          <w:b/>
        </w:rPr>
        <w:t xml:space="preserve">et durées </w:t>
      </w:r>
      <w:r w:rsidR="001853A7" w:rsidRPr="009D55AC">
        <w:rPr>
          <w:rFonts w:ascii="Arial" w:hAnsi="Arial" w:cs="Arial"/>
          <w:b/>
        </w:rPr>
        <w:t xml:space="preserve">des crédits immobiliers </w:t>
      </w:r>
      <w:r w:rsidR="003B7647">
        <w:rPr>
          <w:rFonts w:ascii="Arial" w:hAnsi="Arial" w:cs="Arial"/>
          <w:b/>
        </w:rPr>
        <w:t xml:space="preserve">accordés </w:t>
      </w:r>
      <w:r w:rsidR="001853A7" w:rsidRPr="009D55AC">
        <w:rPr>
          <w:rFonts w:ascii="Arial" w:hAnsi="Arial" w:cs="Arial"/>
          <w:b/>
        </w:rPr>
        <w:t>aux particuliers</w:t>
      </w:r>
    </w:p>
    <w:p w14:paraId="3EB63F63" w14:textId="4C6D98CC" w:rsidR="00CA2C76" w:rsidRDefault="000A2768" w:rsidP="0023257F">
      <w:pPr>
        <w:spacing w:after="60" w:line="240" w:lineRule="auto"/>
        <w:jc w:val="center"/>
        <w:rPr>
          <w:rFonts w:ascii="Arial" w:hAnsi="Arial" w:cs="Arial"/>
        </w:rPr>
      </w:pPr>
      <w:r w:rsidRPr="000A2768">
        <w:rPr>
          <w:rFonts w:ascii="Arial" w:hAnsi="Arial" w:cs="Arial"/>
          <w:noProof/>
        </w:rPr>
        <w:drawing>
          <wp:inline distT="0" distB="0" distL="0" distR="0" wp14:anchorId="272A963D" wp14:editId="40507F1B">
            <wp:extent cx="5760720" cy="3055620"/>
            <wp:effectExtent l="0" t="0" r="0" b="0"/>
            <wp:docPr id="20425752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055620"/>
                    </a:xfrm>
                    <a:prstGeom prst="rect">
                      <a:avLst/>
                    </a:prstGeom>
                    <a:noFill/>
                    <a:ln>
                      <a:noFill/>
                    </a:ln>
                  </pic:spPr>
                </pic:pic>
              </a:graphicData>
            </a:graphic>
          </wp:inline>
        </w:drawing>
      </w:r>
    </w:p>
    <w:p w14:paraId="70AA828B" w14:textId="487C5C99" w:rsidR="00CA2C76" w:rsidRPr="00053EA0" w:rsidRDefault="00CA2C76" w:rsidP="00632C7A">
      <w:pPr>
        <w:spacing w:after="120" w:line="360" w:lineRule="auto"/>
        <w:jc w:val="center"/>
        <w:rPr>
          <w:rFonts w:ascii="Arial" w:hAnsi="Arial" w:cs="Arial"/>
          <w:i/>
          <w:sz w:val="20"/>
        </w:rPr>
      </w:pPr>
      <w:r w:rsidRPr="007847E1">
        <w:rPr>
          <w:rFonts w:ascii="Arial" w:hAnsi="Arial" w:cs="Arial"/>
          <w:i/>
          <w:sz w:val="20"/>
        </w:rPr>
        <w:t xml:space="preserve">Source : </w:t>
      </w:r>
      <w:r w:rsidR="000F2962">
        <w:rPr>
          <w:rFonts w:ascii="Arial" w:hAnsi="Arial" w:cs="Arial"/>
          <w:i/>
          <w:sz w:val="20"/>
        </w:rPr>
        <w:t xml:space="preserve">Observatoire Crédit </w:t>
      </w:r>
      <w:r w:rsidR="00BF4F5F">
        <w:rPr>
          <w:rFonts w:ascii="Arial" w:hAnsi="Arial" w:cs="Arial"/>
          <w:i/>
          <w:sz w:val="20"/>
        </w:rPr>
        <w:t>L</w:t>
      </w:r>
      <w:r w:rsidR="000F2962">
        <w:rPr>
          <w:rFonts w:ascii="Arial" w:hAnsi="Arial" w:cs="Arial"/>
          <w:i/>
          <w:sz w:val="20"/>
        </w:rPr>
        <w:t>ogement</w:t>
      </w:r>
      <w:r w:rsidR="009232E0">
        <w:rPr>
          <w:rFonts w:ascii="Arial" w:hAnsi="Arial" w:cs="Arial"/>
          <w:i/>
          <w:sz w:val="20"/>
        </w:rPr>
        <w:t>/</w:t>
      </w:r>
      <w:r w:rsidR="000F2962">
        <w:rPr>
          <w:rFonts w:ascii="Arial" w:hAnsi="Arial" w:cs="Arial"/>
          <w:i/>
          <w:sz w:val="20"/>
        </w:rPr>
        <w:t>CSA</w:t>
      </w:r>
      <w:r w:rsidR="009232E0">
        <w:rPr>
          <w:rFonts w:ascii="Arial" w:hAnsi="Arial" w:cs="Arial"/>
          <w:i/>
          <w:sz w:val="20"/>
        </w:rPr>
        <w:t xml:space="preserve"> du financement des marchés résidentiels</w:t>
      </w:r>
    </w:p>
    <w:p w14:paraId="02481473" w14:textId="66E2B467" w:rsidR="00B02EA3" w:rsidRPr="00A10835" w:rsidRDefault="00B02EA3" w:rsidP="00B02EA3">
      <w:pPr>
        <w:tabs>
          <w:tab w:val="left" w:pos="3261"/>
        </w:tabs>
        <w:spacing w:after="120" w:line="360" w:lineRule="auto"/>
        <w:jc w:val="both"/>
        <w:rPr>
          <w:rFonts w:ascii="Arial" w:hAnsi="Arial" w:cs="Arial"/>
        </w:rPr>
      </w:pPr>
      <w:r w:rsidRPr="00A10835">
        <w:rPr>
          <w:rFonts w:ascii="Arial" w:hAnsi="Arial" w:cs="Arial"/>
        </w:rPr>
        <w:lastRenderedPageBreak/>
        <w:t>Pour autant, on ne décèle pas encore d’effet de cette petite amélioration en termes de volume (en euros) de nouveaux prêts immobiliers distribués aux ménages (cf. graphique 7) : ils s’effondrent encore respec</w:t>
      </w:r>
      <w:r w:rsidRPr="00185A47">
        <w:rPr>
          <w:rFonts w:ascii="Arial" w:hAnsi="Arial" w:cs="Arial"/>
        </w:rPr>
        <w:t>tivement de 3</w:t>
      </w:r>
      <w:r w:rsidR="00A10835" w:rsidRPr="00185A47">
        <w:rPr>
          <w:rFonts w:ascii="Arial" w:hAnsi="Arial" w:cs="Arial"/>
        </w:rPr>
        <w:t>7</w:t>
      </w:r>
      <w:r w:rsidRPr="00185A47">
        <w:rPr>
          <w:rFonts w:ascii="Arial" w:hAnsi="Arial" w:cs="Arial"/>
        </w:rPr>
        <w:t>,</w:t>
      </w:r>
      <w:r w:rsidR="00A10835" w:rsidRPr="00185A47">
        <w:rPr>
          <w:rFonts w:ascii="Arial" w:hAnsi="Arial" w:cs="Arial"/>
        </w:rPr>
        <w:t>2</w:t>
      </w:r>
      <w:r w:rsidRPr="00185A47">
        <w:rPr>
          <w:rFonts w:ascii="Arial" w:hAnsi="Arial" w:cs="Arial"/>
        </w:rPr>
        <w:t xml:space="preserve"> % en glissement annuel sur trois mois à fin </w:t>
      </w:r>
      <w:r w:rsidR="0024257B" w:rsidRPr="00185A47">
        <w:rPr>
          <w:rFonts w:ascii="Arial" w:hAnsi="Arial" w:cs="Arial"/>
        </w:rPr>
        <w:t>février</w:t>
      </w:r>
      <w:r w:rsidRPr="00185A47">
        <w:rPr>
          <w:rFonts w:ascii="Arial" w:hAnsi="Arial" w:cs="Arial"/>
        </w:rPr>
        <w:t xml:space="preserve"> 2024, dont -3</w:t>
      </w:r>
      <w:r w:rsidR="0024257B" w:rsidRPr="00185A47">
        <w:rPr>
          <w:rFonts w:ascii="Arial" w:hAnsi="Arial" w:cs="Arial"/>
        </w:rPr>
        <w:t>8</w:t>
      </w:r>
      <w:r w:rsidRPr="00185A47">
        <w:rPr>
          <w:rFonts w:ascii="Arial" w:hAnsi="Arial" w:cs="Arial"/>
        </w:rPr>
        <w:t>,</w:t>
      </w:r>
      <w:r w:rsidR="0024257B" w:rsidRPr="00185A47">
        <w:rPr>
          <w:rFonts w:ascii="Arial" w:hAnsi="Arial" w:cs="Arial"/>
        </w:rPr>
        <w:t>3</w:t>
      </w:r>
      <w:r w:rsidRPr="00185A47">
        <w:rPr>
          <w:rFonts w:ascii="Arial" w:hAnsi="Arial" w:cs="Arial"/>
        </w:rPr>
        <w:t> % pour le neuf</w:t>
      </w:r>
      <w:r w:rsidR="00290066">
        <w:rPr>
          <w:rFonts w:ascii="Arial" w:hAnsi="Arial" w:cs="Arial"/>
        </w:rPr>
        <w:t>. Il faut cependant noter un tassement relatif et à confirmer de la chute des prêts</w:t>
      </w:r>
      <w:r w:rsidR="00734949" w:rsidRPr="00185A47">
        <w:rPr>
          <w:rFonts w:ascii="Arial" w:hAnsi="Arial" w:cs="Arial"/>
        </w:rPr>
        <w:t xml:space="preserve">, </w:t>
      </w:r>
      <w:r w:rsidR="00290066">
        <w:rPr>
          <w:rFonts w:ascii="Arial" w:hAnsi="Arial" w:cs="Arial"/>
        </w:rPr>
        <w:t xml:space="preserve">avec </w:t>
      </w:r>
      <w:r w:rsidR="00994EA5">
        <w:rPr>
          <w:rFonts w:ascii="Arial" w:hAnsi="Arial" w:cs="Arial"/>
        </w:rPr>
        <w:t xml:space="preserve">respectivement </w:t>
      </w:r>
      <w:r w:rsidR="00290066">
        <w:rPr>
          <w:rFonts w:ascii="Arial" w:hAnsi="Arial" w:cs="Arial"/>
        </w:rPr>
        <w:t xml:space="preserve">-18,3 % </w:t>
      </w:r>
      <w:r w:rsidR="00994EA5">
        <w:rPr>
          <w:rFonts w:ascii="Arial" w:hAnsi="Arial" w:cs="Arial"/>
        </w:rPr>
        <w:t xml:space="preserve">et -16,0 % </w:t>
      </w:r>
      <w:r w:rsidR="00290066">
        <w:rPr>
          <w:rFonts w:ascii="Arial" w:hAnsi="Arial" w:cs="Arial"/>
        </w:rPr>
        <w:t xml:space="preserve">pour l’ensemble </w:t>
      </w:r>
      <w:r w:rsidR="00994EA5">
        <w:rPr>
          <w:rFonts w:ascii="Arial" w:hAnsi="Arial" w:cs="Arial"/>
        </w:rPr>
        <w:t>et le neuf</w:t>
      </w:r>
      <w:r w:rsidRPr="00185A47">
        <w:rPr>
          <w:rFonts w:ascii="Arial" w:hAnsi="Arial" w:cs="Arial"/>
        </w:rPr>
        <w:t>.</w:t>
      </w:r>
    </w:p>
    <w:p w14:paraId="6FFBEBE9" w14:textId="5BA107E0" w:rsidR="004B4753" w:rsidRDefault="006E4723" w:rsidP="00B02EA3">
      <w:pPr>
        <w:spacing w:after="0" w:line="360" w:lineRule="auto"/>
        <w:jc w:val="center"/>
        <w:rPr>
          <w:rFonts w:ascii="Arial" w:hAnsi="Arial" w:cs="Arial"/>
        </w:rPr>
      </w:pPr>
      <w:r>
        <w:rPr>
          <w:rFonts w:ascii="Arial" w:hAnsi="Arial" w:cs="Arial"/>
        </w:rPr>
        <w:t xml:space="preserve">Graphique </w:t>
      </w:r>
      <w:r w:rsidR="00F30514">
        <w:rPr>
          <w:rFonts w:ascii="Arial" w:hAnsi="Arial" w:cs="Arial"/>
        </w:rPr>
        <w:t>7</w:t>
      </w:r>
      <w:r w:rsidR="004B4753">
        <w:rPr>
          <w:rFonts w:ascii="Arial" w:hAnsi="Arial" w:cs="Arial"/>
        </w:rPr>
        <w:t xml:space="preserve"> – </w:t>
      </w:r>
      <w:r w:rsidR="004B4753" w:rsidRPr="004B4753">
        <w:rPr>
          <w:rFonts w:ascii="Arial" w:hAnsi="Arial" w:cs="Arial"/>
          <w:b/>
        </w:rPr>
        <w:t xml:space="preserve">Production de crédit </w:t>
      </w:r>
      <w:r w:rsidR="00276E38">
        <w:rPr>
          <w:rFonts w:ascii="Arial" w:hAnsi="Arial" w:cs="Arial"/>
          <w:b/>
        </w:rPr>
        <w:t xml:space="preserve">immobilier </w:t>
      </w:r>
      <w:r w:rsidR="004B4753" w:rsidRPr="004B4753">
        <w:rPr>
          <w:rFonts w:ascii="Arial" w:hAnsi="Arial" w:cs="Arial"/>
          <w:b/>
        </w:rPr>
        <w:t xml:space="preserve">dans le </w:t>
      </w:r>
      <w:r w:rsidR="00CA0776">
        <w:rPr>
          <w:rFonts w:ascii="Arial" w:hAnsi="Arial" w:cs="Arial"/>
          <w:b/>
        </w:rPr>
        <w:t xml:space="preserve">logement </w:t>
      </w:r>
      <w:r w:rsidR="004B4753" w:rsidRPr="004B4753">
        <w:rPr>
          <w:rFonts w:ascii="Arial" w:hAnsi="Arial" w:cs="Arial"/>
          <w:b/>
        </w:rPr>
        <w:t>neuf</w:t>
      </w:r>
    </w:p>
    <w:p w14:paraId="76C03783" w14:textId="5F74105D" w:rsidR="00B95853" w:rsidRPr="00A96C7C" w:rsidRDefault="0024257B" w:rsidP="00B95853">
      <w:pPr>
        <w:spacing w:after="60" w:line="240" w:lineRule="auto"/>
        <w:jc w:val="both"/>
        <w:rPr>
          <w:rFonts w:ascii="Arial" w:hAnsi="Arial" w:cs="Arial"/>
          <w:highlight w:val="yellow"/>
        </w:rPr>
      </w:pPr>
      <w:r w:rsidRPr="0024257B">
        <w:rPr>
          <w:rFonts w:ascii="Arial" w:hAnsi="Arial" w:cs="Arial"/>
          <w:noProof/>
        </w:rPr>
        <w:drawing>
          <wp:inline distT="0" distB="0" distL="0" distR="0" wp14:anchorId="5DA660C5" wp14:editId="7B7D514C">
            <wp:extent cx="5760720" cy="3064510"/>
            <wp:effectExtent l="0" t="0" r="0" b="2540"/>
            <wp:docPr id="8057828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26AA9C82" w14:textId="326D503D" w:rsidR="00B95853" w:rsidRPr="00AF51CE" w:rsidRDefault="00B95853" w:rsidP="00B95853">
      <w:pPr>
        <w:spacing w:after="120" w:line="360" w:lineRule="auto"/>
        <w:jc w:val="center"/>
        <w:rPr>
          <w:rFonts w:ascii="Arial" w:hAnsi="Arial" w:cs="Arial"/>
          <w:i/>
          <w:sz w:val="20"/>
          <w:szCs w:val="20"/>
        </w:rPr>
      </w:pPr>
      <w:r w:rsidRPr="007847E1">
        <w:rPr>
          <w:rFonts w:ascii="Arial" w:hAnsi="Arial" w:cs="Arial"/>
          <w:i/>
          <w:sz w:val="20"/>
        </w:rPr>
        <w:t xml:space="preserve">Source : </w:t>
      </w:r>
      <w:r>
        <w:rPr>
          <w:rFonts w:ascii="Arial" w:hAnsi="Arial" w:cs="Arial"/>
          <w:i/>
          <w:sz w:val="20"/>
        </w:rPr>
        <w:t xml:space="preserve">Observatoire Crédit </w:t>
      </w:r>
      <w:r w:rsidR="00BF4F5F">
        <w:rPr>
          <w:rFonts w:ascii="Arial" w:hAnsi="Arial" w:cs="Arial"/>
          <w:i/>
          <w:sz w:val="20"/>
        </w:rPr>
        <w:t>L</w:t>
      </w:r>
      <w:r>
        <w:rPr>
          <w:rFonts w:ascii="Arial" w:hAnsi="Arial" w:cs="Arial"/>
          <w:i/>
          <w:sz w:val="20"/>
        </w:rPr>
        <w:t>ogement/CSA du financement des marchés résidentiels</w:t>
      </w:r>
    </w:p>
    <w:p w14:paraId="218E3B1C" w14:textId="24CDDCE5" w:rsidR="00435A2D" w:rsidRPr="00224065" w:rsidRDefault="00053EA0" w:rsidP="004B3B38">
      <w:pPr>
        <w:spacing w:after="60" w:line="360" w:lineRule="auto"/>
        <w:jc w:val="both"/>
        <w:rPr>
          <w:rFonts w:ascii="Arial" w:hAnsi="Arial" w:cs="Arial"/>
        </w:rPr>
      </w:pPr>
      <w:r>
        <w:rPr>
          <w:rFonts w:ascii="Arial" w:hAnsi="Arial" w:cs="Arial"/>
        </w:rPr>
        <w:t>Reste que la</w:t>
      </w:r>
      <w:r w:rsidR="004E496F" w:rsidRPr="00224065">
        <w:rPr>
          <w:rFonts w:ascii="Arial" w:hAnsi="Arial" w:cs="Arial"/>
        </w:rPr>
        <w:t xml:space="preserve"> dégradation </w:t>
      </w:r>
      <w:r>
        <w:rPr>
          <w:rFonts w:ascii="Arial" w:hAnsi="Arial" w:cs="Arial"/>
        </w:rPr>
        <w:t xml:space="preserve">globale </w:t>
      </w:r>
      <w:r w:rsidR="004E496F" w:rsidRPr="00224065">
        <w:rPr>
          <w:rFonts w:ascii="Arial" w:hAnsi="Arial" w:cs="Arial"/>
        </w:rPr>
        <w:t xml:space="preserve">du marché du crédit, </w:t>
      </w:r>
      <w:r w:rsidR="00185A47">
        <w:rPr>
          <w:rFonts w:ascii="Arial" w:hAnsi="Arial" w:cs="Arial"/>
        </w:rPr>
        <w:t>renforc</w:t>
      </w:r>
      <w:r w:rsidR="004E496F" w:rsidRPr="00224065">
        <w:rPr>
          <w:rFonts w:ascii="Arial" w:hAnsi="Arial" w:cs="Arial"/>
        </w:rPr>
        <w:t>ée par le r</w:t>
      </w:r>
      <w:r w:rsidR="00185A47">
        <w:rPr>
          <w:rFonts w:ascii="Arial" w:hAnsi="Arial" w:cs="Arial"/>
        </w:rPr>
        <w:t>abotage</w:t>
      </w:r>
      <w:r w:rsidR="004E496F" w:rsidRPr="00224065">
        <w:rPr>
          <w:rFonts w:ascii="Arial" w:hAnsi="Arial" w:cs="Arial"/>
        </w:rPr>
        <w:t xml:space="preserve"> d</w:t>
      </w:r>
      <w:r w:rsidR="00185A47">
        <w:rPr>
          <w:rFonts w:ascii="Arial" w:hAnsi="Arial" w:cs="Arial"/>
        </w:rPr>
        <w:t xml:space="preserve">es </w:t>
      </w:r>
      <w:r w:rsidR="004E496F" w:rsidRPr="00224065">
        <w:rPr>
          <w:rFonts w:ascii="Arial" w:hAnsi="Arial" w:cs="Arial"/>
        </w:rPr>
        <w:t>aides publiques, conduit au recul</w:t>
      </w:r>
      <w:r w:rsidR="00435A2D" w:rsidRPr="00224065">
        <w:rPr>
          <w:rFonts w:ascii="Arial" w:hAnsi="Arial" w:cs="Arial"/>
        </w:rPr>
        <w:t xml:space="preserve"> </w:t>
      </w:r>
      <w:r w:rsidR="004E496F" w:rsidRPr="00224065">
        <w:rPr>
          <w:rFonts w:ascii="Arial" w:hAnsi="Arial" w:cs="Arial"/>
        </w:rPr>
        <w:t>d</w:t>
      </w:r>
      <w:r w:rsidR="00435A2D" w:rsidRPr="00224065">
        <w:rPr>
          <w:rFonts w:ascii="Arial" w:hAnsi="Arial" w:cs="Arial"/>
        </w:rPr>
        <w:t>es intention</w:t>
      </w:r>
      <w:r w:rsidR="005E1E9D" w:rsidRPr="00224065">
        <w:rPr>
          <w:rFonts w:ascii="Arial" w:hAnsi="Arial" w:cs="Arial"/>
        </w:rPr>
        <w:t>s</w:t>
      </w:r>
      <w:r w:rsidR="00435A2D" w:rsidRPr="00224065">
        <w:rPr>
          <w:rFonts w:ascii="Arial" w:hAnsi="Arial" w:cs="Arial"/>
        </w:rPr>
        <w:t xml:space="preserve"> d’achat de logements des ménages</w:t>
      </w:r>
      <w:r>
        <w:rPr>
          <w:rFonts w:ascii="Arial" w:hAnsi="Arial" w:cs="Arial"/>
        </w:rPr>
        <w:t xml:space="preserve">. Elles semblent même </w:t>
      </w:r>
      <w:r w:rsidR="003131BC" w:rsidRPr="00224065">
        <w:rPr>
          <w:rFonts w:ascii="Arial" w:hAnsi="Arial" w:cs="Arial"/>
        </w:rPr>
        <w:t>durablement passé</w:t>
      </w:r>
      <w:r w:rsidR="00C81CA9" w:rsidRPr="00224065">
        <w:rPr>
          <w:rFonts w:ascii="Arial" w:hAnsi="Arial" w:cs="Arial"/>
        </w:rPr>
        <w:t>e</w:t>
      </w:r>
      <w:r w:rsidR="003131BC" w:rsidRPr="00224065">
        <w:rPr>
          <w:rFonts w:ascii="Arial" w:hAnsi="Arial" w:cs="Arial"/>
        </w:rPr>
        <w:t>s sous</w:t>
      </w:r>
      <w:r w:rsidR="00435A2D" w:rsidRPr="00224065">
        <w:rPr>
          <w:rFonts w:ascii="Arial" w:hAnsi="Arial" w:cs="Arial"/>
        </w:rPr>
        <w:t xml:space="preserve"> leur moyenne de long terme (voir graphique </w:t>
      </w:r>
      <w:r w:rsidR="00F30514" w:rsidRPr="00224065">
        <w:rPr>
          <w:rFonts w:ascii="Arial" w:hAnsi="Arial" w:cs="Arial"/>
        </w:rPr>
        <w:t>8</w:t>
      </w:r>
      <w:r w:rsidR="00435A2D" w:rsidRPr="00224065">
        <w:rPr>
          <w:rFonts w:ascii="Arial" w:hAnsi="Arial" w:cs="Arial"/>
        </w:rPr>
        <w:t>)</w:t>
      </w:r>
      <w:r w:rsidR="0078730E" w:rsidRPr="00224065">
        <w:rPr>
          <w:rFonts w:ascii="Arial" w:hAnsi="Arial" w:cs="Arial"/>
        </w:rPr>
        <w:t xml:space="preserve">, alors que l’opportunité d’épargner </w:t>
      </w:r>
      <w:r w:rsidR="002B4E95" w:rsidRPr="00224065">
        <w:rPr>
          <w:rFonts w:ascii="Arial" w:hAnsi="Arial" w:cs="Arial"/>
        </w:rPr>
        <w:t>se lit</w:t>
      </w:r>
      <w:r w:rsidR="0078730E" w:rsidRPr="00224065">
        <w:rPr>
          <w:rFonts w:ascii="Arial" w:hAnsi="Arial" w:cs="Arial"/>
        </w:rPr>
        <w:t xml:space="preserve"> à</w:t>
      </w:r>
      <w:r w:rsidR="002B4E95" w:rsidRPr="00224065">
        <w:rPr>
          <w:rFonts w:ascii="Arial" w:hAnsi="Arial" w:cs="Arial"/>
        </w:rPr>
        <w:t xml:space="preserve"> </w:t>
      </w:r>
      <w:r w:rsidR="004E496F" w:rsidRPr="00224065">
        <w:rPr>
          <w:rFonts w:ascii="Arial" w:hAnsi="Arial" w:cs="Arial"/>
        </w:rPr>
        <w:t>haut</w:t>
      </w:r>
      <w:r w:rsidR="002B4E95" w:rsidRPr="00224065">
        <w:rPr>
          <w:rFonts w:ascii="Arial" w:hAnsi="Arial" w:cs="Arial"/>
        </w:rPr>
        <w:t xml:space="preserve"> niveau</w:t>
      </w:r>
      <w:r w:rsidR="00435A2D" w:rsidRPr="00224065">
        <w:rPr>
          <w:rFonts w:ascii="Arial" w:hAnsi="Arial" w:cs="Arial"/>
        </w:rPr>
        <w:t>.</w:t>
      </w:r>
    </w:p>
    <w:p w14:paraId="0494D4B6" w14:textId="77777777" w:rsidR="0009393B" w:rsidRDefault="0009393B">
      <w:pPr>
        <w:rPr>
          <w:rFonts w:ascii="Arial" w:hAnsi="Arial" w:cs="Arial"/>
        </w:rPr>
      </w:pPr>
      <w:r>
        <w:rPr>
          <w:rFonts w:ascii="Arial" w:hAnsi="Arial" w:cs="Arial"/>
        </w:rPr>
        <w:br w:type="page"/>
      </w:r>
    </w:p>
    <w:p w14:paraId="2F68A937" w14:textId="7D140871" w:rsidR="00435A2D" w:rsidRDefault="00435A2D" w:rsidP="00435A2D">
      <w:pPr>
        <w:spacing w:after="0" w:line="360" w:lineRule="auto"/>
        <w:jc w:val="center"/>
        <w:rPr>
          <w:rFonts w:ascii="Arial" w:hAnsi="Arial" w:cs="Arial"/>
        </w:rPr>
      </w:pPr>
      <w:r>
        <w:rPr>
          <w:rFonts w:ascii="Arial" w:hAnsi="Arial" w:cs="Arial"/>
        </w:rPr>
        <w:lastRenderedPageBreak/>
        <w:t xml:space="preserve">Graphique </w:t>
      </w:r>
      <w:r w:rsidR="00F30514">
        <w:rPr>
          <w:rFonts w:ascii="Arial" w:hAnsi="Arial" w:cs="Arial"/>
        </w:rPr>
        <w:t>8</w:t>
      </w:r>
      <w:r>
        <w:rPr>
          <w:rFonts w:ascii="Arial" w:hAnsi="Arial" w:cs="Arial"/>
        </w:rPr>
        <w:t xml:space="preserve"> – </w:t>
      </w:r>
      <w:r>
        <w:rPr>
          <w:rFonts w:ascii="Arial" w:hAnsi="Arial" w:cs="Arial"/>
          <w:b/>
        </w:rPr>
        <w:t>Perspectives de dépenses en immobilier des ménages</w:t>
      </w:r>
    </w:p>
    <w:p w14:paraId="5D305CC0" w14:textId="40A565B4" w:rsidR="00435A2D" w:rsidRPr="000A4916" w:rsidRDefault="006C1DFC" w:rsidP="00435A2D">
      <w:pPr>
        <w:spacing w:after="60" w:line="240" w:lineRule="auto"/>
        <w:jc w:val="both"/>
        <w:rPr>
          <w:rFonts w:ascii="Arial" w:hAnsi="Arial" w:cs="Arial"/>
          <w:highlight w:val="yellow"/>
        </w:rPr>
      </w:pPr>
      <w:r w:rsidRPr="006C1DFC">
        <w:rPr>
          <w:rFonts w:ascii="Arial" w:hAnsi="Arial" w:cs="Arial"/>
          <w:noProof/>
        </w:rPr>
        <w:drawing>
          <wp:inline distT="0" distB="0" distL="0" distR="0" wp14:anchorId="4D0F77BD" wp14:editId="5276F39A">
            <wp:extent cx="5760720" cy="3000375"/>
            <wp:effectExtent l="0" t="0" r="0" b="9525"/>
            <wp:docPr id="50270947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000375"/>
                    </a:xfrm>
                    <a:prstGeom prst="rect">
                      <a:avLst/>
                    </a:prstGeom>
                    <a:noFill/>
                    <a:ln>
                      <a:noFill/>
                    </a:ln>
                  </pic:spPr>
                </pic:pic>
              </a:graphicData>
            </a:graphic>
          </wp:inline>
        </w:drawing>
      </w:r>
    </w:p>
    <w:p w14:paraId="23630D50" w14:textId="50B3D100" w:rsidR="00435A2D" w:rsidRPr="00AF51CE" w:rsidRDefault="00294505" w:rsidP="00435A2D">
      <w:pPr>
        <w:spacing w:after="120" w:line="360" w:lineRule="auto"/>
        <w:jc w:val="center"/>
        <w:rPr>
          <w:rFonts w:ascii="Arial" w:hAnsi="Arial" w:cs="Arial"/>
          <w:i/>
          <w:sz w:val="20"/>
          <w:szCs w:val="20"/>
        </w:rPr>
      </w:pPr>
      <w:r>
        <w:rPr>
          <w:rFonts w:ascii="Arial" w:hAnsi="Arial" w:cs="Arial"/>
          <w:i/>
          <w:sz w:val="20"/>
        </w:rPr>
        <w:t>Source : c</w:t>
      </w:r>
      <w:r w:rsidR="00670B56">
        <w:rPr>
          <w:rFonts w:ascii="Arial" w:hAnsi="Arial" w:cs="Arial"/>
          <w:i/>
          <w:sz w:val="20"/>
        </w:rPr>
        <w:t>alculs FFB d’après Insee</w:t>
      </w:r>
    </w:p>
    <w:p w14:paraId="182EB3C2" w14:textId="0D28507E" w:rsidR="006005F0" w:rsidRPr="00BD52FD" w:rsidRDefault="005879CF" w:rsidP="006005F0">
      <w:pPr>
        <w:spacing w:after="120" w:line="360" w:lineRule="auto"/>
        <w:jc w:val="both"/>
        <w:rPr>
          <w:rFonts w:ascii="Arial" w:hAnsi="Arial" w:cs="Arial"/>
        </w:rPr>
      </w:pPr>
      <w:r w:rsidRPr="00BD52FD">
        <w:rPr>
          <w:rFonts w:ascii="Arial" w:hAnsi="Arial" w:cs="Arial"/>
        </w:rPr>
        <w:t xml:space="preserve">S’agissant </w:t>
      </w:r>
      <w:r w:rsidR="0054603B" w:rsidRPr="00BD52FD">
        <w:rPr>
          <w:rFonts w:ascii="Arial" w:hAnsi="Arial" w:cs="Arial"/>
        </w:rPr>
        <w:t>des</w:t>
      </w:r>
      <w:r w:rsidRPr="00BD52FD">
        <w:rPr>
          <w:rFonts w:ascii="Arial" w:hAnsi="Arial" w:cs="Arial"/>
        </w:rPr>
        <w:t xml:space="preserve"> </w:t>
      </w:r>
      <w:r w:rsidR="0054603B" w:rsidRPr="00BD52FD">
        <w:rPr>
          <w:rFonts w:ascii="Arial" w:hAnsi="Arial" w:cs="Arial"/>
        </w:rPr>
        <w:t>sociétés non financières</w:t>
      </w:r>
      <w:r w:rsidRPr="00BD52FD">
        <w:rPr>
          <w:rFonts w:ascii="Arial" w:hAnsi="Arial" w:cs="Arial"/>
        </w:rPr>
        <w:t xml:space="preserve">, </w:t>
      </w:r>
      <w:r w:rsidR="007C68AB" w:rsidRPr="00BD52FD">
        <w:rPr>
          <w:rFonts w:ascii="Arial" w:hAnsi="Arial" w:cs="Arial"/>
        </w:rPr>
        <w:t xml:space="preserve">leur </w:t>
      </w:r>
      <w:r w:rsidR="00EE264D" w:rsidRPr="00BD52FD">
        <w:rPr>
          <w:rFonts w:ascii="Arial" w:hAnsi="Arial" w:cs="Arial"/>
        </w:rPr>
        <w:t>encours d</w:t>
      </w:r>
      <w:r w:rsidR="007C68AB" w:rsidRPr="00BD52FD">
        <w:rPr>
          <w:rFonts w:ascii="Arial" w:hAnsi="Arial" w:cs="Arial"/>
        </w:rPr>
        <w:t>’</w:t>
      </w:r>
      <w:r w:rsidR="00EE264D" w:rsidRPr="00BD52FD">
        <w:rPr>
          <w:rFonts w:ascii="Arial" w:hAnsi="Arial" w:cs="Arial"/>
        </w:rPr>
        <w:t>endettement immobilier</w:t>
      </w:r>
      <w:r w:rsidR="00F25BF8" w:rsidRPr="00BD52FD">
        <w:rPr>
          <w:rFonts w:ascii="Arial" w:hAnsi="Arial" w:cs="Arial"/>
        </w:rPr>
        <w:t xml:space="preserve">, </w:t>
      </w:r>
      <w:r w:rsidR="00311269" w:rsidRPr="00BD52FD">
        <w:rPr>
          <w:rFonts w:ascii="Arial" w:hAnsi="Arial" w:cs="Arial"/>
        </w:rPr>
        <w:t>certes</w:t>
      </w:r>
      <w:r w:rsidR="00F25BF8" w:rsidRPr="00BD52FD">
        <w:rPr>
          <w:rFonts w:ascii="Arial" w:hAnsi="Arial" w:cs="Arial"/>
        </w:rPr>
        <w:t xml:space="preserve"> très lié au passé</w:t>
      </w:r>
      <w:r w:rsidR="00B424C5" w:rsidRPr="00BD52FD">
        <w:rPr>
          <w:rFonts w:ascii="Arial" w:hAnsi="Arial" w:cs="Arial"/>
        </w:rPr>
        <w:t xml:space="preserve"> (amortissement des crédits)</w:t>
      </w:r>
      <w:r w:rsidR="00F25BF8" w:rsidRPr="00BD52FD">
        <w:rPr>
          <w:rFonts w:ascii="Arial" w:hAnsi="Arial" w:cs="Arial"/>
        </w:rPr>
        <w:t>,</w:t>
      </w:r>
      <w:r w:rsidR="00EE264D" w:rsidRPr="00BD52FD">
        <w:rPr>
          <w:rFonts w:ascii="Arial" w:hAnsi="Arial" w:cs="Arial"/>
        </w:rPr>
        <w:t xml:space="preserve"> </w:t>
      </w:r>
      <w:r w:rsidR="002E387F" w:rsidRPr="00BD52FD">
        <w:rPr>
          <w:rFonts w:ascii="Arial" w:hAnsi="Arial" w:cs="Arial"/>
        </w:rPr>
        <w:t>ralenti</w:t>
      </w:r>
      <w:r w:rsidR="00B01BC9">
        <w:rPr>
          <w:rFonts w:ascii="Arial" w:hAnsi="Arial" w:cs="Arial"/>
        </w:rPr>
        <w:t>t</w:t>
      </w:r>
      <w:r w:rsidR="002E387F" w:rsidRPr="00BD52FD">
        <w:rPr>
          <w:rFonts w:ascii="Arial" w:hAnsi="Arial" w:cs="Arial"/>
        </w:rPr>
        <w:t xml:space="preserve"> </w:t>
      </w:r>
      <w:r w:rsidR="004F1F2A" w:rsidRPr="00BD52FD">
        <w:rPr>
          <w:rFonts w:ascii="Arial" w:hAnsi="Arial" w:cs="Arial"/>
        </w:rPr>
        <w:t>quasi</w:t>
      </w:r>
      <w:r w:rsidR="00B01BC9">
        <w:rPr>
          <w:rFonts w:ascii="Arial" w:hAnsi="Arial" w:cs="Arial"/>
        </w:rPr>
        <w:t xml:space="preserve"> </w:t>
      </w:r>
      <w:r w:rsidR="004F1F2A" w:rsidRPr="00BD52FD">
        <w:rPr>
          <w:rFonts w:ascii="Arial" w:hAnsi="Arial" w:cs="Arial"/>
        </w:rPr>
        <w:t>contin</w:t>
      </w:r>
      <w:r w:rsidR="00B01BC9">
        <w:rPr>
          <w:rFonts w:ascii="Arial" w:hAnsi="Arial" w:cs="Arial"/>
        </w:rPr>
        <w:t>û</w:t>
      </w:r>
      <w:r w:rsidR="004F1F2A" w:rsidRPr="00BD52FD">
        <w:rPr>
          <w:rFonts w:ascii="Arial" w:hAnsi="Arial" w:cs="Arial"/>
        </w:rPr>
        <w:t>ment entre</w:t>
      </w:r>
      <w:r w:rsidR="002E387F" w:rsidRPr="00BD52FD">
        <w:rPr>
          <w:rFonts w:ascii="Arial" w:hAnsi="Arial" w:cs="Arial"/>
        </w:rPr>
        <w:t xml:space="preserve"> </w:t>
      </w:r>
      <w:r w:rsidR="004F1F2A" w:rsidRPr="00BD52FD">
        <w:rPr>
          <w:rFonts w:ascii="Arial" w:hAnsi="Arial" w:cs="Arial"/>
        </w:rPr>
        <w:t xml:space="preserve">décembre </w:t>
      </w:r>
      <w:r w:rsidR="002E387F" w:rsidRPr="00BD52FD">
        <w:rPr>
          <w:rFonts w:ascii="Arial" w:hAnsi="Arial" w:cs="Arial"/>
        </w:rPr>
        <w:t>2022</w:t>
      </w:r>
      <w:r w:rsidR="004F1F2A" w:rsidRPr="00BD52FD">
        <w:rPr>
          <w:rFonts w:ascii="Arial" w:hAnsi="Arial" w:cs="Arial"/>
        </w:rPr>
        <w:t xml:space="preserve"> et </w:t>
      </w:r>
      <w:r w:rsidR="00DF7BBD" w:rsidRPr="00BD52FD">
        <w:rPr>
          <w:rFonts w:ascii="Arial" w:hAnsi="Arial" w:cs="Arial"/>
        </w:rPr>
        <w:t>septembre</w:t>
      </w:r>
      <w:r w:rsidR="004F1F2A" w:rsidRPr="00BD52FD">
        <w:rPr>
          <w:rFonts w:ascii="Arial" w:hAnsi="Arial" w:cs="Arial"/>
        </w:rPr>
        <w:t xml:space="preserve"> 2023</w:t>
      </w:r>
      <w:r w:rsidR="002E387F" w:rsidRPr="00BD52FD">
        <w:rPr>
          <w:rFonts w:ascii="Arial" w:hAnsi="Arial" w:cs="Arial"/>
        </w:rPr>
        <w:t xml:space="preserve"> </w:t>
      </w:r>
      <w:r w:rsidR="002E387F" w:rsidRPr="00144715">
        <w:rPr>
          <w:rFonts w:ascii="Arial" w:hAnsi="Arial" w:cs="Arial"/>
        </w:rPr>
        <w:t>pour se lire à +</w:t>
      </w:r>
      <w:r w:rsidR="00464AD2" w:rsidRPr="00144715">
        <w:rPr>
          <w:rFonts w:ascii="Arial" w:hAnsi="Arial" w:cs="Arial"/>
        </w:rPr>
        <w:t>3</w:t>
      </w:r>
      <w:r w:rsidR="002E387F" w:rsidRPr="00144715">
        <w:rPr>
          <w:rFonts w:ascii="Arial" w:hAnsi="Arial" w:cs="Arial"/>
        </w:rPr>
        <w:t>,</w:t>
      </w:r>
      <w:r w:rsidR="00DF7BBD" w:rsidRPr="00144715">
        <w:rPr>
          <w:rFonts w:ascii="Arial" w:hAnsi="Arial" w:cs="Arial"/>
        </w:rPr>
        <w:t>1</w:t>
      </w:r>
      <w:r w:rsidR="007B3816" w:rsidRPr="00144715">
        <w:rPr>
          <w:rFonts w:ascii="Arial" w:hAnsi="Arial" w:cs="Arial"/>
        </w:rPr>
        <w:t> %</w:t>
      </w:r>
      <w:r w:rsidR="002E387F" w:rsidRPr="00144715">
        <w:rPr>
          <w:rFonts w:ascii="Arial" w:hAnsi="Arial" w:cs="Arial"/>
        </w:rPr>
        <w:t xml:space="preserve"> sur un an</w:t>
      </w:r>
      <w:r w:rsidR="00F25BF8" w:rsidRPr="00144715">
        <w:rPr>
          <w:rFonts w:ascii="Arial" w:hAnsi="Arial" w:cs="Arial"/>
        </w:rPr>
        <w:t xml:space="preserve">. </w:t>
      </w:r>
      <w:r w:rsidR="00DF7BBD" w:rsidRPr="00144715">
        <w:rPr>
          <w:rFonts w:ascii="Arial" w:hAnsi="Arial" w:cs="Arial"/>
        </w:rPr>
        <w:t>Depuis</w:t>
      </w:r>
      <w:r w:rsidR="004F1F2A" w:rsidRPr="00144715">
        <w:rPr>
          <w:rFonts w:ascii="Arial" w:hAnsi="Arial" w:cs="Arial"/>
        </w:rPr>
        <w:t>, on relève une accélération</w:t>
      </w:r>
      <w:r w:rsidR="00DF7BBD" w:rsidRPr="00144715">
        <w:rPr>
          <w:rFonts w:ascii="Arial" w:hAnsi="Arial" w:cs="Arial"/>
        </w:rPr>
        <w:t xml:space="preserve"> </w:t>
      </w:r>
      <w:r w:rsidR="00E5681B" w:rsidRPr="00144715">
        <w:rPr>
          <w:rFonts w:ascii="Arial" w:hAnsi="Arial" w:cs="Arial"/>
        </w:rPr>
        <w:t>et la hausse ressort</w:t>
      </w:r>
      <w:r w:rsidR="004F1F2A" w:rsidRPr="00144715">
        <w:rPr>
          <w:rFonts w:ascii="Arial" w:hAnsi="Arial" w:cs="Arial"/>
        </w:rPr>
        <w:t xml:space="preserve"> à +</w:t>
      </w:r>
      <w:r w:rsidR="009D0FB4" w:rsidRPr="00144715">
        <w:rPr>
          <w:rFonts w:ascii="Arial" w:hAnsi="Arial" w:cs="Arial"/>
        </w:rPr>
        <w:t>4</w:t>
      </w:r>
      <w:r w:rsidR="004F1F2A" w:rsidRPr="00144715">
        <w:rPr>
          <w:rFonts w:ascii="Arial" w:hAnsi="Arial" w:cs="Arial"/>
        </w:rPr>
        <w:t>,</w:t>
      </w:r>
      <w:r w:rsidR="009D0FB4" w:rsidRPr="00144715">
        <w:rPr>
          <w:rFonts w:ascii="Arial" w:hAnsi="Arial" w:cs="Arial"/>
        </w:rPr>
        <w:t>7</w:t>
      </w:r>
      <w:r w:rsidR="004F1F2A" w:rsidRPr="00144715">
        <w:rPr>
          <w:rFonts w:ascii="Arial" w:hAnsi="Arial" w:cs="Arial"/>
        </w:rPr>
        <w:t xml:space="preserve"> % </w:t>
      </w:r>
      <w:r w:rsidR="00DF7BBD" w:rsidRPr="00144715">
        <w:rPr>
          <w:rFonts w:ascii="Arial" w:hAnsi="Arial" w:cs="Arial"/>
        </w:rPr>
        <w:t xml:space="preserve">en </w:t>
      </w:r>
      <w:r w:rsidR="009D0FB4" w:rsidRPr="00144715">
        <w:rPr>
          <w:rFonts w:ascii="Arial" w:hAnsi="Arial" w:cs="Arial"/>
        </w:rPr>
        <w:t>décembre</w:t>
      </w:r>
      <w:r w:rsidR="00DF7BBD" w:rsidRPr="00144715">
        <w:rPr>
          <w:rFonts w:ascii="Arial" w:hAnsi="Arial" w:cs="Arial"/>
        </w:rPr>
        <w:t xml:space="preserve"> 2023 </w:t>
      </w:r>
      <w:r w:rsidR="004F1F2A" w:rsidRPr="00144715">
        <w:rPr>
          <w:rFonts w:ascii="Arial" w:hAnsi="Arial" w:cs="Arial"/>
        </w:rPr>
        <w:t xml:space="preserve">sur un an, alors que </w:t>
      </w:r>
      <w:r w:rsidR="00EE264D" w:rsidRPr="00144715">
        <w:rPr>
          <w:rFonts w:ascii="Arial" w:hAnsi="Arial" w:cs="Arial"/>
        </w:rPr>
        <w:t>l’ensemble des crédits à l’investissement</w:t>
      </w:r>
      <w:r w:rsidR="007B18D4" w:rsidRPr="00144715">
        <w:rPr>
          <w:rFonts w:ascii="Arial" w:hAnsi="Arial" w:cs="Arial"/>
        </w:rPr>
        <w:t xml:space="preserve"> </w:t>
      </w:r>
      <w:r w:rsidR="00697A26">
        <w:rPr>
          <w:rFonts w:ascii="Arial" w:hAnsi="Arial" w:cs="Arial"/>
        </w:rPr>
        <w:t>continue de se tasser</w:t>
      </w:r>
      <w:r w:rsidR="004F1F2A" w:rsidRPr="00144715">
        <w:rPr>
          <w:rFonts w:ascii="Arial" w:hAnsi="Arial" w:cs="Arial"/>
        </w:rPr>
        <w:t xml:space="preserve"> pour s’établir à 4</w:t>
      </w:r>
      <w:r w:rsidR="000D5296" w:rsidRPr="00144715">
        <w:rPr>
          <w:rFonts w:ascii="Arial" w:hAnsi="Arial" w:cs="Arial"/>
        </w:rPr>
        <w:t>,</w:t>
      </w:r>
      <w:r w:rsidR="00BD52FD" w:rsidRPr="00144715">
        <w:rPr>
          <w:rFonts w:ascii="Arial" w:hAnsi="Arial" w:cs="Arial"/>
        </w:rPr>
        <w:t>0</w:t>
      </w:r>
      <w:r w:rsidR="000D5296" w:rsidRPr="00144715">
        <w:rPr>
          <w:rFonts w:ascii="Arial" w:hAnsi="Arial" w:cs="Arial"/>
        </w:rPr>
        <w:t> </w:t>
      </w:r>
      <w:r w:rsidR="00F25BF8" w:rsidRPr="00144715">
        <w:rPr>
          <w:rFonts w:ascii="Arial" w:hAnsi="Arial" w:cs="Arial"/>
        </w:rPr>
        <w:t>%</w:t>
      </w:r>
      <w:r w:rsidR="000D5296" w:rsidRPr="00144715">
        <w:rPr>
          <w:rFonts w:ascii="Arial" w:hAnsi="Arial" w:cs="Arial"/>
        </w:rPr>
        <w:t xml:space="preserve"> </w:t>
      </w:r>
      <w:r w:rsidR="00685D6B" w:rsidRPr="00144715">
        <w:rPr>
          <w:rFonts w:ascii="Arial" w:hAnsi="Arial" w:cs="Arial"/>
        </w:rPr>
        <w:t xml:space="preserve">à fin </w:t>
      </w:r>
      <w:r w:rsidR="00BD52FD" w:rsidRPr="00144715">
        <w:rPr>
          <w:rFonts w:ascii="Arial" w:hAnsi="Arial" w:cs="Arial"/>
        </w:rPr>
        <w:t>janvier 2024</w:t>
      </w:r>
      <w:r w:rsidR="00685D6B" w:rsidRPr="00144715">
        <w:rPr>
          <w:rFonts w:ascii="Arial" w:hAnsi="Arial" w:cs="Arial"/>
        </w:rPr>
        <w:t xml:space="preserve"> </w:t>
      </w:r>
      <w:r w:rsidR="00A73A02" w:rsidRPr="00144715">
        <w:rPr>
          <w:rFonts w:ascii="Arial" w:hAnsi="Arial" w:cs="Arial"/>
        </w:rPr>
        <w:t>(</w:t>
      </w:r>
      <w:r w:rsidR="002E387F" w:rsidRPr="00144715">
        <w:rPr>
          <w:rFonts w:ascii="Arial" w:hAnsi="Arial" w:cs="Arial"/>
        </w:rPr>
        <w:t>cf</w:t>
      </w:r>
      <w:r w:rsidRPr="00144715">
        <w:rPr>
          <w:rFonts w:ascii="Arial" w:hAnsi="Arial" w:cs="Arial"/>
        </w:rPr>
        <w:t>.</w:t>
      </w:r>
      <w:r w:rsidRPr="00BD52FD">
        <w:rPr>
          <w:rFonts w:ascii="Arial" w:hAnsi="Arial" w:cs="Arial"/>
        </w:rPr>
        <w:t xml:space="preserve"> graphique </w:t>
      </w:r>
      <w:r w:rsidR="00F30514" w:rsidRPr="00BD52FD">
        <w:rPr>
          <w:rFonts w:ascii="Arial" w:hAnsi="Arial" w:cs="Arial"/>
        </w:rPr>
        <w:t>9</w:t>
      </w:r>
      <w:r w:rsidRPr="00BD52FD">
        <w:rPr>
          <w:rFonts w:ascii="Arial" w:hAnsi="Arial" w:cs="Arial"/>
        </w:rPr>
        <w:t>).</w:t>
      </w:r>
      <w:r w:rsidR="00506B91" w:rsidRPr="00BD52FD">
        <w:rPr>
          <w:rFonts w:ascii="Arial" w:hAnsi="Arial" w:cs="Arial"/>
        </w:rPr>
        <w:t xml:space="preserve"> </w:t>
      </w:r>
    </w:p>
    <w:p w14:paraId="7CE06094" w14:textId="25BA5C15" w:rsidR="00096C7A" w:rsidRPr="0030337C" w:rsidRDefault="00D70D3C" w:rsidP="00B946F3">
      <w:pPr>
        <w:spacing w:after="0" w:line="360" w:lineRule="auto"/>
        <w:jc w:val="center"/>
        <w:rPr>
          <w:rFonts w:ascii="Arial" w:hAnsi="Arial" w:cs="Arial"/>
          <w:noProof/>
          <w:color w:val="000000" w:themeColor="text1"/>
          <w:sz w:val="28"/>
          <w:szCs w:val="28"/>
          <w:lang w:eastAsia="fr-FR"/>
        </w:rPr>
      </w:pPr>
      <w:r w:rsidRPr="0030337C">
        <w:rPr>
          <w:rFonts w:ascii="Arial" w:hAnsi="Arial" w:cs="Arial"/>
          <w:color w:val="000000" w:themeColor="text1"/>
        </w:rPr>
        <w:t xml:space="preserve">Graphique </w:t>
      </w:r>
      <w:r w:rsidR="00F30514">
        <w:rPr>
          <w:rFonts w:ascii="Arial" w:hAnsi="Arial" w:cs="Arial"/>
          <w:color w:val="000000" w:themeColor="text1"/>
        </w:rPr>
        <w:t>9</w:t>
      </w:r>
      <w:r w:rsidR="008C7BA2" w:rsidRPr="0030337C">
        <w:rPr>
          <w:rFonts w:ascii="Arial" w:hAnsi="Arial" w:cs="Arial"/>
          <w:color w:val="000000" w:themeColor="text1"/>
        </w:rPr>
        <w:t xml:space="preserve"> – </w:t>
      </w:r>
      <w:r w:rsidR="008C7BA2" w:rsidRPr="0030337C">
        <w:rPr>
          <w:rFonts w:ascii="Arial" w:hAnsi="Arial" w:cs="Arial"/>
          <w:b/>
          <w:color w:val="000000" w:themeColor="text1"/>
        </w:rPr>
        <w:t xml:space="preserve">Encours de crédit </w:t>
      </w:r>
      <w:r w:rsidR="0023257F">
        <w:rPr>
          <w:rFonts w:ascii="Arial" w:hAnsi="Arial" w:cs="Arial"/>
          <w:b/>
          <w:color w:val="000000" w:themeColor="text1"/>
        </w:rPr>
        <w:t>d</w:t>
      </w:r>
      <w:r w:rsidR="008C7BA2" w:rsidRPr="0030337C">
        <w:rPr>
          <w:rFonts w:ascii="Arial" w:hAnsi="Arial" w:cs="Arial"/>
          <w:b/>
          <w:color w:val="000000" w:themeColor="text1"/>
        </w:rPr>
        <w:t>’investissement aux sociétés non financières</w:t>
      </w:r>
    </w:p>
    <w:p w14:paraId="0CEF0EAD" w14:textId="6F65FDC3" w:rsidR="00F67AE2" w:rsidRDefault="006C1DFC" w:rsidP="0023257F">
      <w:pPr>
        <w:spacing w:after="60" w:line="240" w:lineRule="auto"/>
        <w:jc w:val="center"/>
        <w:rPr>
          <w:rFonts w:ascii="Arial" w:hAnsi="Arial" w:cs="Arial"/>
          <w:b/>
        </w:rPr>
      </w:pPr>
      <w:r w:rsidRPr="006C1DFC">
        <w:rPr>
          <w:rFonts w:ascii="Arial" w:hAnsi="Arial" w:cs="Arial"/>
          <w:b/>
          <w:noProof/>
        </w:rPr>
        <w:drawing>
          <wp:inline distT="0" distB="0" distL="0" distR="0" wp14:anchorId="15FFCF7A" wp14:editId="317D3EBB">
            <wp:extent cx="5760720" cy="3064510"/>
            <wp:effectExtent l="0" t="0" r="0" b="2540"/>
            <wp:docPr id="126310840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5E7B8679" w14:textId="4CFE39B4" w:rsidR="008C7BA2" w:rsidRPr="008C7BA2" w:rsidRDefault="008C7BA2" w:rsidP="003C10DE">
      <w:pPr>
        <w:spacing w:after="0" w:line="360" w:lineRule="auto"/>
        <w:jc w:val="center"/>
        <w:rPr>
          <w:rFonts w:ascii="Arial" w:hAnsi="Arial" w:cs="Arial"/>
          <w:i/>
          <w:sz w:val="20"/>
          <w:szCs w:val="20"/>
        </w:rPr>
      </w:pPr>
      <w:r w:rsidRPr="008C7BA2">
        <w:rPr>
          <w:rFonts w:ascii="Arial" w:hAnsi="Arial" w:cs="Arial"/>
          <w:i/>
          <w:sz w:val="20"/>
          <w:szCs w:val="20"/>
        </w:rPr>
        <w:t>Source : Banque de France</w:t>
      </w:r>
    </w:p>
    <w:p w14:paraId="5AFC19C7" w14:textId="77777777" w:rsidR="0009393B" w:rsidRPr="00BD52FD" w:rsidRDefault="0009393B" w:rsidP="0009393B">
      <w:pPr>
        <w:spacing w:after="120" w:line="360" w:lineRule="auto"/>
        <w:jc w:val="both"/>
        <w:rPr>
          <w:rFonts w:ascii="Arial" w:hAnsi="Arial" w:cs="Arial"/>
        </w:rPr>
      </w:pPr>
      <w:r w:rsidRPr="00BD52FD">
        <w:rPr>
          <w:rFonts w:ascii="Arial" w:hAnsi="Arial" w:cs="Arial"/>
        </w:rPr>
        <w:lastRenderedPageBreak/>
        <w:t>Il convient de rester prudent sur cet infléchissement rapide, qui s’explique pour une part non négligeable par un effet prix. De plus, on ne peut exclure un tassement des remboursements de crédits immobiliers plus marqué que la hausse des flux de crédits nouveaux.</w:t>
      </w:r>
    </w:p>
    <w:p w14:paraId="3B6B2C22" w14:textId="738F259D" w:rsidR="00550240" w:rsidRPr="00AE6454" w:rsidRDefault="00550240" w:rsidP="007C27E6">
      <w:pPr>
        <w:spacing w:before="360" w:after="120" w:line="360" w:lineRule="auto"/>
        <w:rPr>
          <w:rFonts w:ascii="Arial" w:hAnsi="Arial" w:cs="Arial"/>
          <w:b/>
          <w:sz w:val="28"/>
          <w:szCs w:val="28"/>
          <w:u w:val="single"/>
        </w:rPr>
      </w:pPr>
      <w:r>
        <w:rPr>
          <w:rFonts w:ascii="Arial" w:hAnsi="Arial" w:cs="Arial"/>
          <w:b/>
          <w:sz w:val="28"/>
          <w:szCs w:val="28"/>
          <w:u w:val="single"/>
        </w:rPr>
        <w:t>2. Les marchés du bâtiment</w:t>
      </w:r>
    </w:p>
    <w:p w14:paraId="0865F3CB" w14:textId="77777777" w:rsidR="00EF2D2E" w:rsidRPr="00DC4924" w:rsidRDefault="00EF2D2E" w:rsidP="001A65E1">
      <w:pPr>
        <w:spacing w:before="360" w:after="120" w:line="360" w:lineRule="auto"/>
        <w:jc w:val="both"/>
        <w:rPr>
          <w:rFonts w:ascii="Arial" w:hAnsi="Arial" w:cs="Arial"/>
          <w:u w:val="single"/>
        </w:rPr>
      </w:pPr>
      <w:r>
        <w:rPr>
          <w:rFonts w:ascii="Arial" w:hAnsi="Arial" w:cs="Arial"/>
          <w:u w:val="single"/>
        </w:rPr>
        <w:t>2.1 Le logement neuf</w:t>
      </w:r>
    </w:p>
    <w:p w14:paraId="6E05D870" w14:textId="0CEAB369" w:rsidR="00644165" w:rsidRPr="00DE26A0" w:rsidRDefault="00644165" w:rsidP="00644165">
      <w:pPr>
        <w:spacing w:before="360" w:after="120" w:line="360" w:lineRule="auto"/>
        <w:jc w:val="both"/>
        <w:rPr>
          <w:rFonts w:ascii="Arial" w:hAnsi="Arial" w:cs="Arial"/>
          <w:i/>
        </w:rPr>
      </w:pPr>
      <w:r w:rsidRPr="00407827">
        <w:rPr>
          <w:rFonts w:ascii="Arial" w:hAnsi="Arial" w:cs="Arial"/>
          <w:i/>
        </w:rPr>
        <w:t>2.1.</w:t>
      </w:r>
      <w:r>
        <w:rPr>
          <w:rFonts w:ascii="Arial" w:hAnsi="Arial" w:cs="Arial"/>
          <w:i/>
        </w:rPr>
        <w:t>1</w:t>
      </w:r>
      <w:r w:rsidRPr="00407827">
        <w:rPr>
          <w:rFonts w:ascii="Arial" w:hAnsi="Arial" w:cs="Arial"/>
          <w:i/>
        </w:rPr>
        <w:t xml:space="preserve"> La construction</w:t>
      </w:r>
    </w:p>
    <w:p w14:paraId="299A5277" w14:textId="2AEA2911" w:rsidR="002F1ED1" w:rsidRPr="000F1C9B" w:rsidRDefault="000F1C9B" w:rsidP="000F1C9B">
      <w:pPr>
        <w:spacing w:after="120" w:line="360" w:lineRule="auto"/>
        <w:jc w:val="both"/>
        <w:rPr>
          <w:rFonts w:ascii="Arial" w:hAnsi="Arial" w:cs="Arial"/>
        </w:rPr>
      </w:pPr>
      <w:r>
        <w:rPr>
          <w:rFonts w:ascii="Arial" w:hAnsi="Arial" w:cs="Arial"/>
        </w:rPr>
        <w:t>E</w:t>
      </w:r>
      <w:r w:rsidRPr="00144715">
        <w:rPr>
          <w:rFonts w:ascii="Arial" w:hAnsi="Arial" w:cs="Arial"/>
        </w:rPr>
        <w:t>n glissement annuel sur trois mois à fin janvier 2024, la situation du logement reste très dégradée en termes de mises en chantier (cf. tableau 1) : elles s’effondrent de 23,3 %, dont -</w:t>
      </w:r>
      <w:r w:rsidR="00202C48">
        <w:rPr>
          <w:rFonts w:ascii="Arial" w:hAnsi="Arial" w:cs="Arial"/>
        </w:rPr>
        <w:t> </w:t>
      </w:r>
      <w:r w:rsidRPr="00144715">
        <w:rPr>
          <w:rFonts w:ascii="Arial" w:hAnsi="Arial" w:cs="Arial"/>
        </w:rPr>
        <w:t xml:space="preserve">28,5 % pour l’individuel et -20,4 % dans le collectif, donc presque sans changement de rythme pour le tout comme pour les parties. </w:t>
      </w:r>
    </w:p>
    <w:p w14:paraId="370C2A9B" w14:textId="205A582E" w:rsidR="00644165" w:rsidRDefault="00644165" w:rsidP="00644165">
      <w:pPr>
        <w:spacing w:after="0" w:line="360" w:lineRule="auto"/>
        <w:jc w:val="center"/>
        <w:rPr>
          <w:rFonts w:ascii="Arial" w:hAnsi="Arial" w:cs="Arial"/>
          <w:b/>
        </w:rPr>
      </w:pPr>
      <w:r>
        <w:rPr>
          <w:rFonts w:ascii="Arial" w:hAnsi="Arial" w:cs="Arial"/>
        </w:rPr>
        <w:t xml:space="preserve">Tableau 1 </w:t>
      </w:r>
      <w:r w:rsidRPr="009B1AD1">
        <w:rPr>
          <w:rFonts w:ascii="Arial" w:hAnsi="Arial" w:cs="Arial"/>
        </w:rPr>
        <w:t>–</w:t>
      </w:r>
      <w:r>
        <w:rPr>
          <w:rFonts w:ascii="Arial" w:hAnsi="Arial" w:cs="Arial"/>
        </w:rPr>
        <w:t xml:space="preserve"> </w:t>
      </w:r>
      <w:r w:rsidRPr="00CB20BC">
        <w:rPr>
          <w:rFonts w:ascii="Arial" w:hAnsi="Arial" w:cs="Arial"/>
          <w:b/>
        </w:rPr>
        <w:t xml:space="preserve">Évolutions </w:t>
      </w:r>
      <w:r w:rsidRPr="00361390">
        <w:rPr>
          <w:rFonts w:ascii="Arial" w:hAnsi="Arial" w:cs="Arial"/>
        </w:rPr>
        <w:t>(en</w:t>
      </w:r>
      <w:r w:rsidR="007B3816">
        <w:rPr>
          <w:rFonts w:ascii="Arial" w:hAnsi="Arial" w:cs="Arial"/>
        </w:rPr>
        <w:t> %</w:t>
      </w:r>
      <w:r w:rsidRPr="00361390">
        <w:rPr>
          <w:rFonts w:ascii="Arial" w:hAnsi="Arial" w:cs="Arial"/>
        </w:rPr>
        <w:t>, en glissement annuel)</w:t>
      </w:r>
      <w:r>
        <w:rPr>
          <w:rFonts w:ascii="Arial" w:hAnsi="Arial" w:cs="Arial"/>
          <w:b/>
        </w:rPr>
        <w:t xml:space="preserve"> du logement neuf</w:t>
      </w:r>
      <w:r>
        <w:rPr>
          <w:rStyle w:val="Appelnotedebasdep"/>
          <w:rFonts w:ascii="Arial" w:hAnsi="Arial" w:cs="Arial"/>
          <w:b/>
        </w:rPr>
        <w:footnoteReference w:id="3"/>
      </w:r>
    </w:p>
    <w:tbl>
      <w:tblPr>
        <w:tblStyle w:val="Grilledutableau"/>
        <w:tblW w:w="904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2258"/>
        <w:gridCol w:w="2260"/>
        <w:gridCol w:w="2263"/>
        <w:gridCol w:w="2261"/>
      </w:tblGrid>
      <w:tr w:rsidR="0098517D" w:rsidRPr="004E3507" w14:paraId="13E3DA14" w14:textId="77777777" w:rsidTr="00D7242D">
        <w:tc>
          <w:tcPr>
            <w:tcW w:w="2258" w:type="dxa"/>
            <w:tcBorders>
              <w:top w:val="single" w:sz="12" w:space="0" w:color="000000" w:themeColor="text1"/>
            </w:tcBorders>
          </w:tcPr>
          <w:p w14:paraId="244CA8FE" w14:textId="77777777" w:rsidR="0098517D" w:rsidRPr="004E3507" w:rsidRDefault="0098517D" w:rsidP="00D7242D">
            <w:pPr>
              <w:jc w:val="center"/>
              <w:rPr>
                <w:rFonts w:ascii="Arial" w:hAnsi="Arial" w:cs="Arial"/>
              </w:rPr>
            </w:pPr>
          </w:p>
        </w:tc>
        <w:tc>
          <w:tcPr>
            <w:tcW w:w="2260" w:type="dxa"/>
            <w:tcBorders>
              <w:top w:val="single" w:sz="12" w:space="0" w:color="000000" w:themeColor="text1"/>
            </w:tcBorders>
          </w:tcPr>
          <w:p w14:paraId="2BFBCD19" w14:textId="77777777" w:rsidR="0098517D" w:rsidRPr="004E3507" w:rsidRDefault="0098517D" w:rsidP="00D7242D">
            <w:pPr>
              <w:jc w:val="center"/>
              <w:rPr>
                <w:rFonts w:ascii="Arial" w:hAnsi="Arial" w:cs="Arial"/>
              </w:rPr>
            </w:pPr>
            <w:r w:rsidRPr="4FF09C5F">
              <w:rPr>
                <w:rFonts w:ascii="Arial" w:hAnsi="Arial" w:cs="Arial"/>
              </w:rPr>
              <w:t>Individuel</w:t>
            </w:r>
          </w:p>
        </w:tc>
        <w:tc>
          <w:tcPr>
            <w:tcW w:w="2263" w:type="dxa"/>
            <w:tcBorders>
              <w:top w:val="single" w:sz="12" w:space="0" w:color="000000" w:themeColor="text1"/>
            </w:tcBorders>
          </w:tcPr>
          <w:p w14:paraId="75F81417" w14:textId="77777777" w:rsidR="0098517D" w:rsidRPr="004E3507" w:rsidRDefault="0098517D" w:rsidP="00D7242D">
            <w:pPr>
              <w:jc w:val="center"/>
              <w:rPr>
                <w:rFonts w:ascii="Arial" w:hAnsi="Arial" w:cs="Arial"/>
              </w:rPr>
            </w:pPr>
            <w:r w:rsidRPr="4FF09C5F">
              <w:rPr>
                <w:rFonts w:ascii="Arial" w:hAnsi="Arial" w:cs="Arial"/>
              </w:rPr>
              <w:t>Collectif</w:t>
            </w:r>
          </w:p>
        </w:tc>
        <w:tc>
          <w:tcPr>
            <w:tcW w:w="2261" w:type="dxa"/>
            <w:tcBorders>
              <w:top w:val="single" w:sz="12" w:space="0" w:color="000000" w:themeColor="text1"/>
            </w:tcBorders>
          </w:tcPr>
          <w:p w14:paraId="4927B8A8" w14:textId="77777777" w:rsidR="0098517D" w:rsidRPr="004E3507" w:rsidRDefault="0098517D" w:rsidP="00D7242D">
            <w:pPr>
              <w:jc w:val="center"/>
              <w:rPr>
                <w:rFonts w:ascii="Arial" w:hAnsi="Arial" w:cs="Arial"/>
              </w:rPr>
            </w:pPr>
            <w:r w:rsidRPr="4FF09C5F">
              <w:rPr>
                <w:rFonts w:ascii="Arial" w:hAnsi="Arial" w:cs="Arial"/>
              </w:rPr>
              <w:t>Ensemble</w:t>
            </w:r>
          </w:p>
        </w:tc>
      </w:tr>
      <w:tr w:rsidR="0098517D" w:rsidRPr="004E3507" w14:paraId="410FB3F6" w14:textId="77777777" w:rsidTr="00D7242D">
        <w:tc>
          <w:tcPr>
            <w:tcW w:w="9042" w:type="dxa"/>
            <w:gridSpan w:val="4"/>
          </w:tcPr>
          <w:p w14:paraId="2731EAF6" w14:textId="77777777" w:rsidR="0098517D" w:rsidRPr="004E3507" w:rsidRDefault="0098517D" w:rsidP="00D7242D">
            <w:pPr>
              <w:jc w:val="center"/>
              <w:rPr>
                <w:rFonts w:ascii="Arial" w:hAnsi="Arial" w:cs="Arial"/>
              </w:rPr>
            </w:pPr>
          </w:p>
        </w:tc>
      </w:tr>
      <w:tr w:rsidR="0098517D" w:rsidRPr="004E3507" w14:paraId="17332425" w14:textId="77777777" w:rsidTr="00D7242D">
        <w:tc>
          <w:tcPr>
            <w:tcW w:w="9042" w:type="dxa"/>
            <w:gridSpan w:val="4"/>
            <w:tcBorders>
              <w:bottom w:val="single" w:sz="2" w:space="0" w:color="000000" w:themeColor="text1"/>
            </w:tcBorders>
          </w:tcPr>
          <w:p w14:paraId="1277C0FB" w14:textId="77777777" w:rsidR="0098517D" w:rsidRPr="00CC60E5" w:rsidRDefault="0098517D" w:rsidP="00D7242D">
            <w:pPr>
              <w:jc w:val="center"/>
              <w:rPr>
                <w:rFonts w:ascii="Arial" w:hAnsi="Arial" w:cs="Arial"/>
                <w:b/>
                <w:bCs/>
                <w:i/>
                <w:iCs/>
              </w:rPr>
            </w:pPr>
            <w:r w:rsidRPr="00CC60E5">
              <w:rPr>
                <w:rFonts w:ascii="Arial" w:hAnsi="Arial" w:cs="Arial"/>
                <w:b/>
                <w:bCs/>
                <w:i/>
                <w:iCs/>
              </w:rPr>
              <w:t>Sur trois mois (nov. 202</w:t>
            </w:r>
            <w:r>
              <w:rPr>
                <w:rFonts w:ascii="Arial" w:hAnsi="Arial" w:cs="Arial"/>
                <w:b/>
                <w:bCs/>
                <w:i/>
                <w:iCs/>
              </w:rPr>
              <w:t>3</w:t>
            </w:r>
            <w:r w:rsidRPr="00CC60E5">
              <w:rPr>
                <w:rFonts w:ascii="Arial" w:hAnsi="Arial" w:cs="Arial"/>
                <w:b/>
                <w:bCs/>
                <w:i/>
                <w:iCs/>
              </w:rPr>
              <w:t xml:space="preserve"> → jan. 202</w:t>
            </w:r>
            <w:r>
              <w:rPr>
                <w:rFonts w:ascii="Arial" w:hAnsi="Arial" w:cs="Arial"/>
                <w:b/>
                <w:bCs/>
                <w:i/>
                <w:iCs/>
              </w:rPr>
              <w:t>4</w:t>
            </w:r>
            <w:r w:rsidRPr="00CC60E5">
              <w:rPr>
                <w:rFonts w:ascii="Arial" w:hAnsi="Arial" w:cs="Arial"/>
                <w:b/>
                <w:bCs/>
                <w:i/>
                <w:iCs/>
              </w:rPr>
              <w:t xml:space="preserve"> / nov. 202</w:t>
            </w:r>
            <w:r>
              <w:rPr>
                <w:rFonts w:ascii="Arial" w:hAnsi="Arial" w:cs="Arial"/>
                <w:b/>
                <w:bCs/>
                <w:i/>
                <w:iCs/>
              </w:rPr>
              <w:t>2</w:t>
            </w:r>
            <w:r w:rsidRPr="00CC60E5">
              <w:rPr>
                <w:rFonts w:ascii="Arial" w:hAnsi="Arial" w:cs="Arial"/>
                <w:b/>
                <w:bCs/>
                <w:i/>
                <w:iCs/>
              </w:rPr>
              <w:t xml:space="preserve"> → jan. 202</w:t>
            </w:r>
            <w:r>
              <w:rPr>
                <w:rFonts w:ascii="Arial" w:hAnsi="Arial" w:cs="Arial"/>
                <w:b/>
                <w:bCs/>
                <w:i/>
                <w:iCs/>
              </w:rPr>
              <w:t>3</w:t>
            </w:r>
            <w:r w:rsidRPr="00CC60E5">
              <w:rPr>
                <w:rFonts w:ascii="Arial" w:hAnsi="Arial" w:cs="Arial"/>
                <w:b/>
                <w:bCs/>
                <w:i/>
                <w:iCs/>
              </w:rPr>
              <w:t>)</w:t>
            </w:r>
          </w:p>
        </w:tc>
      </w:tr>
      <w:tr w:rsidR="0098517D" w:rsidRPr="004E3507" w14:paraId="1B987124" w14:textId="77777777" w:rsidTr="00D7242D">
        <w:tc>
          <w:tcPr>
            <w:tcW w:w="2258" w:type="dxa"/>
            <w:tcBorders>
              <w:top w:val="single" w:sz="2" w:space="0" w:color="000000" w:themeColor="text1"/>
              <w:bottom w:val="dashSmallGap" w:sz="4" w:space="0" w:color="000000" w:themeColor="text1"/>
            </w:tcBorders>
          </w:tcPr>
          <w:p w14:paraId="1FFE5372" w14:textId="77777777" w:rsidR="0098517D" w:rsidRPr="00CC60E5" w:rsidRDefault="0098517D" w:rsidP="00D7242D">
            <w:pPr>
              <w:jc w:val="center"/>
              <w:rPr>
                <w:rFonts w:ascii="Arial" w:hAnsi="Arial" w:cs="Arial"/>
                <w:b/>
                <w:bCs/>
              </w:rPr>
            </w:pPr>
            <w:r w:rsidRPr="00CC60E5">
              <w:rPr>
                <w:rFonts w:ascii="Arial" w:hAnsi="Arial" w:cs="Arial"/>
                <w:b/>
                <w:bCs/>
              </w:rPr>
              <w:t>Autorisations</w:t>
            </w:r>
          </w:p>
        </w:tc>
        <w:tc>
          <w:tcPr>
            <w:tcW w:w="2260" w:type="dxa"/>
            <w:tcBorders>
              <w:top w:val="single" w:sz="2" w:space="0" w:color="000000" w:themeColor="text1"/>
              <w:bottom w:val="dashSmallGap" w:sz="4" w:space="0" w:color="000000" w:themeColor="text1"/>
            </w:tcBorders>
          </w:tcPr>
          <w:p w14:paraId="7AD3F222" w14:textId="77777777" w:rsidR="0098517D" w:rsidRPr="00CC60E5" w:rsidRDefault="0098517D" w:rsidP="00D7242D">
            <w:pPr>
              <w:jc w:val="center"/>
              <w:rPr>
                <w:rFonts w:ascii="Arial" w:hAnsi="Arial" w:cs="Arial"/>
                <w:b/>
                <w:bCs/>
              </w:rPr>
            </w:pPr>
            <w:r>
              <w:rPr>
                <w:rFonts w:ascii="Arial" w:hAnsi="Arial" w:cs="Arial"/>
                <w:b/>
                <w:bCs/>
              </w:rPr>
              <w:t>-15,8 %</w:t>
            </w:r>
          </w:p>
        </w:tc>
        <w:tc>
          <w:tcPr>
            <w:tcW w:w="2263" w:type="dxa"/>
            <w:tcBorders>
              <w:top w:val="single" w:sz="2" w:space="0" w:color="000000" w:themeColor="text1"/>
              <w:bottom w:val="dashSmallGap" w:sz="4" w:space="0" w:color="000000" w:themeColor="text1"/>
            </w:tcBorders>
          </w:tcPr>
          <w:p w14:paraId="2FFD0B9F" w14:textId="77777777" w:rsidR="0098517D" w:rsidRPr="00CC60E5" w:rsidRDefault="0098517D" w:rsidP="00D7242D">
            <w:pPr>
              <w:jc w:val="center"/>
              <w:rPr>
                <w:rFonts w:ascii="Arial" w:hAnsi="Arial" w:cs="Arial"/>
                <w:b/>
                <w:bCs/>
              </w:rPr>
            </w:pPr>
            <w:r>
              <w:rPr>
                <w:rFonts w:ascii="Arial" w:hAnsi="Arial" w:cs="Arial"/>
                <w:b/>
                <w:bCs/>
              </w:rPr>
              <w:t>+8,6 %</w:t>
            </w:r>
          </w:p>
        </w:tc>
        <w:tc>
          <w:tcPr>
            <w:tcW w:w="2261" w:type="dxa"/>
            <w:tcBorders>
              <w:top w:val="single" w:sz="2" w:space="0" w:color="000000" w:themeColor="text1"/>
              <w:bottom w:val="dashSmallGap" w:sz="4" w:space="0" w:color="000000" w:themeColor="text1"/>
            </w:tcBorders>
          </w:tcPr>
          <w:p w14:paraId="19B3A39D" w14:textId="77777777" w:rsidR="0098517D" w:rsidRPr="00CC60E5" w:rsidRDefault="0098517D" w:rsidP="00D7242D">
            <w:pPr>
              <w:jc w:val="center"/>
              <w:rPr>
                <w:rFonts w:ascii="Arial" w:hAnsi="Arial" w:cs="Arial"/>
                <w:b/>
                <w:bCs/>
              </w:rPr>
            </w:pPr>
            <w:r>
              <w:rPr>
                <w:rFonts w:ascii="Arial" w:hAnsi="Arial" w:cs="Arial"/>
                <w:b/>
                <w:bCs/>
              </w:rPr>
              <w:t>-2,1 %</w:t>
            </w:r>
          </w:p>
        </w:tc>
      </w:tr>
      <w:tr w:rsidR="0098517D" w:rsidRPr="004E3507" w14:paraId="5CE3F0C0" w14:textId="77777777" w:rsidTr="00D7242D">
        <w:tc>
          <w:tcPr>
            <w:tcW w:w="2258" w:type="dxa"/>
            <w:tcBorders>
              <w:top w:val="dashSmallGap" w:sz="4" w:space="0" w:color="000000" w:themeColor="text1"/>
              <w:bottom w:val="single" w:sz="2" w:space="0" w:color="000000" w:themeColor="text1"/>
            </w:tcBorders>
          </w:tcPr>
          <w:p w14:paraId="423920E9" w14:textId="77777777" w:rsidR="0098517D" w:rsidRPr="00CC60E5" w:rsidRDefault="0098517D" w:rsidP="00D7242D">
            <w:pPr>
              <w:jc w:val="center"/>
              <w:rPr>
                <w:rFonts w:ascii="Arial" w:hAnsi="Arial" w:cs="Arial"/>
                <w:b/>
                <w:bCs/>
              </w:rPr>
            </w:pPr>
            <w:r w:rsidRPr="00CC60E5">
              <w:rPr>
                <w:rFonts w:ascii="Arial" w:hAnsi="Arial" w:cs="Arial"/>
                <w:b/>
                <w:bCs/>
              </w:rPr>
              <w:t>Mises en chantier</w:t>
            </w:r>
          </w:p>
        </w:tc>
        <w:tc>
          <w:tcPr>
            <w:tcW w:w="2260" w:type="dxa"/>
            <w:tcBorders>
              <w:top w:val="dashSmallGap" w:sz="4" w:space="0" w:color="000000" w:themeColor="text1"/>
              <w:bottom w:val="single" w:sz="2" w:space="0" w:color="000000" w:themeColor="text1"/>
            </w:tcBorders>
          </w:tcPr>
          <w:p w14:paraId="24B05247" w14:textId="77777777" w:rsidR="0098517D" w:rsidRPr="00CC60E5" w:rsidRDefault="0098517D" w:rsidP="00D7242D">
            <w:pPr>
              <w:jc w:val="center"/>
              <w:rPr>
                <w:rFonts w:ascii="Arial" w:hAnsi="Arial" w:cs="Arial"/>
                <w:b/>
                <w:bCs/>
              </w:rPr>
            </w:pPr>
            <w:r>
              <w:rPr>
                <w:rFonts w:ascii="Arial" w:hAnsi="Arial" w:cs="Arial"/>
                <w:b/>
                <w:bCs/>
              </w:rPr>
              <w:t>-28,5 %</w:t>
            </w:r>
          </w:p>
        </w:tc>
        <w:tc>
          <w:tcPr>
            <w:tcW w:w="2263" w:type="dxa"/>
            <w:tcBorders>
              <w:top w:val="dashSmallGap" w:sz="4" w:space="0" w:color="000000" w:themeColor="text1"/>
              <w:bottom w:val="single" w:sz="2" w:space="0" w:color="000000" w:themeColor="text1"/>
            </w:tcBorders>
          </w:tcPr>
          <w:p w14:paraId="1B513A26" w14:textId="77777777" w:rsidR="0098517D" w:rsidRPr="00CC60E5" w:rsidRDefault="0098517D" w:rsidP="00D7242D">
            <w:pPr>
              <w:jc w:val="center"/>
              <w:rPr>
                <w:rFonts w:ascii="Arial" w:hAnsi="Arial" w:cs="Arial"/>
                <w:b/>
                <w:bCs/>
              </w:rPr>
            </w:pPr>
            <w:r>
              <w:rPr>
                <w:rFonts w:ascii="Arial" w:hAnsi="Arial" w:cs="Arial"/>
                <w:b/>
                <w:bCs/>
              </w:rPr>
              <w:t>-20,4 %</w:t>
            </w:r>
          </w:p>
        </w:tc>
        <w:tc>
          <w:tcPr>
            <w:tcW w:w="2261" w:type="dxa"/>
            <w:tcBorders>
              <w:top w:val="dashSmallGap" w:sz="4" w:space="0" w:color="000000" w:themeColor="text1"/>
              <w:bottom w:val="single" w:sz="2" w:space="0" w:color="000000" w:themeColor="text1"/>
            </w:tcBorders>
          </w:tcPr>
          <w:p w14:paraId="16307ACE" w14:textId="77777777" w:rsidR="0098517D" w:rsidRPr="00CC60E5" w:rsidRDefault="0098517D" w:rsidP="00D7242D">
            <w:pPr>
              <w:jc w:val="center"/>
              <w:rPr>
                <w:rFonts w:ascii="Arial" w:hAnsi="Arial" w:cs="Arial"/>
                <w:b/>
                <w:bCs/>
              </w:rPr>
            </w:pPr>
            <w:r>
              <w:rPr>
                <w:rFonts w:ascii="Arial" w:hAnsi="Arial" w:cs="Arial"/>
                <w:b/>
                <w:bCs/>
              </w:rPr>
              <w:t>-23,3 %</w:t>
            </w:r>
          </w:p>
        </w:tc>
      </w:tr>
      <w:tr w:rsidR="0098517D" w:rsidRPr="004E3507" w14:paraId="6DAA8989" w14:textId="77777777" w:rsidTr="00D7242D">
        <w:tc>
          <w:tcPr>
            <w:tcW w:w="9042" w:type="dxa"/>
            <w:gridSpan w:val="4"/>
          </w:tcPr>
          <w:p w14:paraId="2F97CD44" w14:textId="77777777" w:rsidR="0098517D" w:rsidRPr="004E3507" w:rsidRDefault="0098517D" w:rsidP="00D7242D">
            <w:pPr>
              <w:jc w:val="center"/>
              <w:rPr>
                <w:rFonts w:ascii="Arial" w:hAnsi="Arial" w:cs="Arial"/>
              </w:rPr>
            </w:pPr>
          </w:p>
        </w:tc>
      </w:tr>
      <w:tr w:rsidR="0098517D" w:rsidRPr="004E3507" w14:paraId="25898B6A" w14:textId="77777777" w:rsidTr="00D7242D">
        <w:tc>
          <w:tcPr>
            <w:tcW w:w="9042" w:type="dxa"/>
            <w:gridSpan w:val="4"/>
            <w:tcBorders>
              <w:bottom w:val="single" w:sz="2" w:space="0" w:color="000000" w:themeColor="text1"/>
            </w:tcBorders>
          </w:tcPr>
          <w:p w14:paraId="426B32D2" w14:textId="77777777" w:rsidR="0098517D" w:rsidRPr="00F425DC" w:rsidRDefault="0098517D" w:rsidP="00D7242D">
            <w:pPr>
              <w:jc w:val="center"/>
              <w:rPr>
                <w:rFonts w:ascii="Arial" w:hAnsi="Arial" w:cs="Arial"/>
                <w:i/>
                <w:iCs/>
              </w:rPr>
            </w:pPr>
            <w:r w:rsidRPr="4FF09C5F">
              <w:rPr>
                <w:rFonts w:ascii="Arial" w:hAnsi="Arial" w:cs="Arial"/>
                <w:i/>
                <w:iCs/>
              </w:rPr>
              <w:t>Sur six mois (</w:t>
            </w:r>
            <w:r>
              <w:rPr>
                <w:rFonts w:ascii="Arial" w:hAnsi="Arial" w:cs="Arial"/>
                <w:i/>
                <w:iCs/>
              </w:rPr>
              <w:t>août</w:t>
            </w:r>
            <w:r w:rsidRPr="4FF09C5F">
              <w:rPr>
                <w:rFonts w:ascii="Arial" w:hAnsi="Arial" w:cs="Arial"/>
                <w:i/>
                <w:iCs/>
              </w:rPr>
              <w:t xml:space="preserve"> 202</w:t>
            </w:r>
            <w:r>
              <w:rPr>
                <w:rFonts w:ascii="Arial" w:hAnsi="Arial" w:cs="Arial"/>
                <w:i/>
                <w:iCs/>
              </w:rPr>
              <w:t>3</w:t>
            </w:r>
            <w:r w:rsidRPr="4FF09C5F">
              <w:rPr>
                <w:rFonts w:ascii="Arial" w:hAnsi="Arial" w:cs="Arial"/>
                <w:i/>
                <w:iCs/>
              </w:rPr>
              <w:t xml:space="preserve"> → </w:t>
            </w:r>
            <w:r>
              <w:rPr>
                <w:rFonts w:ascii="Arial" w:hAnsi="Arial" w:cs="Arial"/>
                <w:i/>
                <w:iCs/>
              </w:rPr>
              <w:t>jan.</w:t>
            </w:r>
            <w:r w:rsidRPr="4FF09C5F">
              <w:rPr>
                <w:rFonts w:ascii="Arial" w:hAnsi="Arial" w:cs="Arial"/>
                <w:i/>
                <w:iCs/>
              </w:rPr>
              <w:t xml:space="preserve"> 202</w:t>
            </w:r>
            <w:r>
              <w:rPr>
                <w:rFonts w:ascii="Arial" w:hAnsi="Arial" w:cs="Arial"/>
                <w:i/>
                <w:iCs/>
              </w:rPr>
              <w:t>4</w:t>
            </w:r>
            <w:r w:rsidRPr="4FF09C5F">
              <w:rPr>
                <w:rFonts w:ascii="Arial" w:hAnsi="Arial" w:cs="Arial"/>
                <w:i/>
                <w:iCs/>
              </w:rPr>
              <w:t xml:space="preserve"> / </w:t>
            </w:r>
            <w:r>
              <w:rPr>
                <w:rFonts w:ascii="Arial" w:hAnsi="Arial" w:cs="Arial"/>
                <w:i/>
                <w:iCs/>
              </w:rPr>
              <w:t>août</w:t>
            </w:r>
            <w:r w:rsidRPr="4FF09C5F">
              <w:rPr>
                <w:rFonts w:ascii="Arial" w:hAnsi="Arial" w:cs="Arial"/>
                <w:i/>
                <w:iCs/>
              </w:rPr>
              <w:t xml:space="preserve"> 20</w:t>
            </w:r>
            <w:r>
              <w:rPr>
                <w:rFonts w:ascii="Arial" w:hAnsi="Arial" w:cs="Arial"/>
                <w:i/>
                <w:iCs/>
              </w:rPr>
              <w:t>22</w:t>
            </w:r>
            <w:r w:rsidRPr="4FF09C5F">
              <w:rPr>
                <w:rFonts w:ascii="Arial" w:hAnsi="Arial" w:cs="Arial"/>
                <w:i/>
                <w:iCs/>
              </w:rPr>
              <w:t xml:space="preserve"> → </w:t>
            </w:r>
            <w:r>
              <w:rPr>
                <w:rFonts w:ascii="Arial" w:hAnsi="Arial" w:cs="Arial"/>
                <w:i/>
                <w:iCs/>
              </w:rPr>
              <w:t>jan.</w:t>
            </w:r>
            <w:r w:rsidRPr="4FF09C5F">
              <w:rPr>
                <w:rFonts w:ascii="Arial" w:hAnsi="Arial" w:cs="Arial"/>
                <w:i/>
                <w:iCs/>
              </w:rPr>
              <w:t xml:space="preserve"> 202</w:t>
            </w:r>
            <w:r>
              <w:rPr>
                <w:rFonts w:ascii="Arial" w:hAnsi="Arial" w:cs="Arial"/>
                <w:i/>
                <w:iCs/>
              </w:rPr>
              <w:t>3</w:t>
            </w:r>
            <w:r w:rsidRPr="4FF09C5F">
              <w:rPr>
                <w:rFonts w:ascii="Arial" w:hAnsi="Arial" w:cs="Arial"/>
                <w:i/>
                <w:iCs/>
              </w:rPr>
              <w:t>)</w:t>
            </w:r>
          </w:p>
        </w:tc>
      </w:tr>
      <w:tr w:rsidR="0098517D" w:rsidRPr="004E3507" w14:paraId="05B76C8C" w14:textId="77777777" w:rsidTr="00D7242D">
        <w:tc>
          <w:tcPr>
            <w:tcW w:w="2258" w:type="dxa"/>
            <w:tcBorders>
              <w:top w:val="single" w:sz="2" w:space="0" w:color="000000" w:themeColor="text1"/>
              <w:bottom w:val="dashSmallGap" w:sz="4" w:space="0" w:color="000000" w:themeColor="text1"/>
            </w:tcBorders>
          </w:tcPr>
          <w:p w14:paraId="28B63548" w14:textId="77777777" w:rsidR="0098517D" w:rsidRPr="00F425DC" w:rsidRDefault="0098517D" w:rsidP="00D7242D">
            <w:pPr>
              <w:jc w:val="center"/>
              <w:rPr>
                <w:rFonts w:ascii="Arial" w:hAnsi="Arial" w:cs="Arial"/>
              </w:rPr>
            </w:pPr>
            <w:r w:rsidRPr="4FF09C5F">
              <w:rPr>
                <w:rFonts w:ascii="Arial" w:hAnsi="Arial" w:cs="Arial"/>
              </w:rPr>
              <w:t>Autorisations</w:t>
            </w:r>
          </w:p>
        </w:tc>
        <w:tc>
          <w:tcPr>
            <w:tcW w:w="2260" w:type="dxa"/>
            <w:tcBorders>
              <w:top w:val="single" w:sz="2" w:space="0" w:color="000000" w:themeColor="text1"/>
              <w:bottom w:val="dashSmallGap" w:sz="4" w:space="0" w:color="000000" w:themeColor="text1"/>
            </w:tcBorders>
          </w:tcPr>
          <w:p w14:paraId="7126C17A" w14:textId="77777777" w:rsidR="0098517D" w:rsidRPr="00F425DC" w:rsidRDefault="0098517D" w:rsidP="00D7242D">
            <w:pPr>
              <w:jc w:val="center"/>
              <w:rPr>
                <w:rFonts w:ascii="Arial" w:hAnsi="Arial" w:cs="Arial"/>
              </w:rPr>
            </w:pPr>
            <w:r>
              <w:rPr>
                <w:rFonts w:ascii="Arial" w:hAnsi="Arial" w:cs="Arial"/>
              </w:rPr>
              <w:t>-17,4 %</w:t>
            </w:r>
          </w:p>
        </w:tc>
        <w:tc>
          <w:tcPr>
            <w:tcW w:w="2263" w:type="dxa"/>
            <w:tcBorders>
              <w:top w:val="single" w:sz="2" w:space="0" w:color="000000" w:themeColor="text1"/>
              <w:bottom w:val="dashSmallGap" w:sz="4" w:space="0" w:color="000000" w:themeColor="text1"/>
            </w:tcBorders>
          </w:tcPr>
          <w:p w14:paraId="76D9599B" w14:textId="77777777" w:rsidR="0098517D" w:rsidRPr="00F425DC" w:rsidRDefault="0098517D" w:rsidP="00D7242D">
            <w:pPr>
              <w:jc w:val="center"/>
              <w:rPr>
                <w:rFonts w:ascii="Arial" w:hAnsi="Arial" w:cs="Arial"/>
              </w:rPr>
            </w:pPr>
            <w:r>
              <w:rPr>
                <w:rFonts w:ascii="Arial" w:hAnsi="Arial" w:cs="Arial"/>
              </w:rPr>
              <w:t>-9,2 %</w:t>
            </w:r>
          </w:p>
        </w:tc>
        <w:tc>
          <w:tcPr>
            <w:tcW w:w="2261" w:type="dxa"/>
            <w:tcBorders>
              <w:top w:val="single" w:sz="2" w:space="0" w:color="000000" w:themeColor="text1"/>
              <w:bottom w:val="dashSmallGap" w:sz="4" w:space="0" w:color="000000" w:themeColor="text1"/>
            </w:tcBorders>
          </w:tcPr>
          <w:p w14:paraId="0B4F8BEB" w14:textId="77777777" w:rsidR="0098517D" w:rsidRPr="00F425DC" w:rsidRDefault="0098517D" w:rsidP="00D7242D">
            <w:pPr>
              <w:jc w:val="center"/>
              <w:rPr>
                <w:rFonts w:ascii="Arial" w:hAnsi="Arial" w:cs="Arial"/>
              </w:rPr>
            </w:pPr>
            <w:r>
              <w:rPr>
                <w:rFonts w:ascii="Arial" w:hAnsi="Arial" w:cs="Arial"/>
              </w:rPr>
              <w:t>-12,5 %</w:t>
            </w:r>
          </w:p>
        </w:tc>
      </w:tr>
      <w:tr w:rsidR="0098517D" w:rsidRPr="004E3507" w14:paraId="12C3B789" w14:textId="77777777" w:rsidTr="00D7242D">
        <w:tc>
          <w:tcPr>
            <w:tcW w:w="2258" w:type="dxa"/>
            <w:tcBorders>
              <w:top w:val="dashSmallGap" w:sz="4" w:space="0" w:color="000000" w:themeColor="text1"/>
            </w:tcBorders>
          </w:tcPr>
          <w:p w14:paraId="68CBF6D9" w14:textId="77777777" w:rsidR="0098517D" w:rsidRPr="00F425DC" w:rsidRDefault="0098517D" w:rsidP="00D7242D">
            <w:pPr>
              <w:jc w:val="center"/>
              <w:rPr>
                <w:rFonts w:ascii="Arial" w:hAnsi="Arial" w:cs="Arial"/>
              </w:rPr>
            </w:pPr>
            <w:r w:rsidRPr="4FF09C5F">
              <w:rPr>
                <w:rFonts w:ascii="Arial" w:hAnsi="Arial" w:cs="Arial"/>
              </w:rPr>
              <w:t>Mises en chantier</w:t>
            </w:r>
          </w:p>
        </w:tc>
        <w:tc>
          <w:tcPr>
            <w:tcW w:w="2260" w:type="dxa"/>
            <w:tcBorders>
              <w:top w:val="dashSmallGap" w:sz="4" w:space="0" w:color="000000" w:themeColor="text1"/>
            </w:tcBorders>
          </w:tcPr>
          <w:p w14:paraId="73C9C150" w14:textId="77777777" w:rsidR="0098517D" w:rsidRPr="00F425DC" w:rsidRDefault="0098517D" w:rsidP="00D7242D">
            <w:pPr>
              <w:jc w:val="center"/>
              <w:rPr>
                <w:rFonts w:ascii="Arial" w:hAnsi="Arial" w:cs="Arial"/>
              </w:rPr>
            </w:pPr>
            <w:r>
              <w:rPr>
                <w:rFonts w:ascii="Arial" w:hAnsi="Arial" w:cs="Arial"/>
              </w:rPr>
              <w:t>-29,1 %</w:t>
            </w:r>
          </w:p>
        </w:tc>
        <w:tc>
          <w:tcPr>
            <w:tcW w:w="2263" w:type="dxa"/>
            <w:tcBorders>
              <w:top w:val="dashSmallGap" w:sz="4" w:space="0" w:color="000000" w:themeColor="text1"/>
            </w:tcBorders>
          </w:tcPr>
          <w:p w14:paraId="1E0A1C24" w14:textId="77777777" w:rsidR="0098517D" w:rsidRPr="00F425DC" w:rsidRDefault="0098517D" w:rsidP="00D7242D">
            <w:pPr>
              <w:jc w:val="center"/>
              <w:rPr>
                <w:rFonts w:ascii="Arial" w:hAnsi="Arial" w:cs="Arial"/>
              </w:rPr>
            </w:pPr>
            <w:r>
              <w:rPr>
                <w:rFonts w:ascii="Arial" w:hAnsi="Arial" w:cs="Arial"/>
              </w:rPr>
              <w:t>-22,8 %</w:t>
            </w:r>
          </w:p>
        </w:tc>
        <w:tc>
          <w:tcPr>
            <w:tcW w:w="2261" w:type="dxa"/>
            <w:tcBorders>
              <w:top w:val="dashSmallGap" w:sz="4" w:space="0" w:color="000000" w:themeColor="text1"/>
            </w:tcBorders>
          </w:tcPr>
          <w:p w14:paraId="04E65125" w14:textId="77777777" w:rsidR="0098517D" w:rsidRPr="00F425DC" w:rsidRDefault="0098517D" w:rsidP="00D7242D">
            <w:pPr>
              <w:jc w:val="center"/>
              <w:rPr>
                <w:rFonts w:ascii="Arial" w:hAnsi="Arial" w:cs="Arial"/>
              </w:rPr>
            </w:pPr>
            <w:r>
              <w:rPr>
                <w:rFonts w:ascii="Arial" w:hAnsi="Arial" w:cs="Arial"/>
              </w:rPr>
              <w:t>-25,3 %</w:t>
            </w:r>
          </w:p>
        </w:tc>
      </w:tr>
      <w:tr w:rsidR="0098517D" w:rsidRPr="004E3507" w14:paraId="275A2471" w14:textId="77777777" w:rsidTr="00D7242D">
        <w:tc>
          <w:tcPr>
            <w:tcW w:w="9042" w:type="dxa"/>
            <w:gridSpan w:val="4"/>
          </w:tcPr>
          <w:p w14:paraId="7964B3FF" w14:textId="77777777" w:rsidR="0098517D" w:rsidRPr="004E3507" w:rsidRDefault="0098517D" w:rsidP="00D7242D">
            <w:pPr>
              <w:jc w:val="center"/>
              <w:rPr>
                <w:rFonts w:ascii="Arial" w:hAnsi="Arial" w:cs="Arial"/>
              </w:rPr>
            </w:pPr>
          </w:p>
        </w:tc>
      </w:tr>
      <w:tr w:rsidR="0098517D" w:rsidRPr="004E3507" w14:paraId="2A819CC0" w14:textId="77777777" w:rsidTr="00D7242D">
        <w:tc>
          <w:tcPr>
            <w:tcW w:w="9042" w:type="dxa"/>
            <w:gridSpan w:val="4"/>
            <w:tcBorders>
              <w:bottom w:val="single" w:sz="2" w:space="0" w:color="000000" w:themeColor="text1"/>
            </w:tcBorders>
          </w:tcPr>
          <w:p w14:paraId="4834BE9E" w14:textId="77777777" w:rsidR="0098517D" w:rsidRPr="00704446" w:rsidRDefault="0098517D" w:rsidP="00D7242D">
            <w:pPr>
              <w:jc w:val="center"/>
              <w:rPr>
                <w:rFonts w:ascii="Arial" w:hAnsi="Arial" w:cs="Arial"/>
                <w:i/>
                <w:iCs/>
              </w:rPr>
            </w:pPr>
            <w:r w:rsidRPr="00704446">
              <w:rPr>
                <w:rFonts w:ascii="Arial" w:hAnsi="Arial" w:cs="Arial"/>
                <w:i/>
                <w:iCs/>
              </w:rPr>
              <w:t>Sur neuf mois (</w:t>
            </w:r>
            <w:r>
              <w:rPr>
                <w:rFonts w:ascii="Arial" w:hAnsi="Arial" w:cs="Arial"/>
                <w:i/>
                <w:iCs/>
              </w:rPr>
              <w:t>mai</w:t>
            </w:r>
            <w:r w:rsidRPr="00704446">
              <w:rPr>
                <w:rFonts w:ascii="Arial" w:hAnsi="Arial" w:cs="Arial"/>
                <w:i/>
                <w:iCs/>
              </w:rPr>
              <w:t xml:space="preserve"> 202</w:t>
            </w:r>
            <w:r>
              <w:rPr>
                <w:rFonts w:ascii="Arial" w:hAnsi="Arial" w:cs="Arial"/>
                <w:i/>
                <w:iCs/>
              </w:rPr>
              <w:t>3</w:t>
            </w:r>
            <w:r w:rsidRPr="00704446">
              <w:rPr>
                <w:rFonts w:ascii="Arial" w:hAnsi="Arial" w:cs="Arial"/>
                <w:i/>
                <w:iCs/>
              </w:rPr>
              <w:t xml:space="preserve"> → </w:t>
            </w:r>
            <w:r>
              <w:rPr>
                <w:rFonts w:ascii="Arial" w:hAnsi="Arial" w:cs="Arial"/>
                <w:i/>
                <w:iCs/>
              </w:rPr>
              <w:t>jan</w:t>
            </w:r>
            <w:r w:rsidRPr="00704446">
              <w:rPr>
                <w:rFonts w:ascii="Arial" w:hAnsi="Arial" w:cs="Arial"/>
                <w:i/>
                <w:iCs/>
              </w:rPr>
              <w:t>. 202</w:t>
            </w:r>
            <w:r>
              <w:rPr>
                <w:rFonts w:ascii="Arial" w:hAnsi="Arial" w:cs="Arial"/>
                <w:i/>
                <w:iCs/>
              </w:rPr>
              <w:t>4</w:t>
            </w:r>
            <w:r w:rsidRPr="00704446">
              <w:rPr>
                <w:rFonts w:ascii="Arial" w:hAnsi="Arial" w:cs="Arial"/>
                <w:i/>
                <w:iCs/>
              </w:rPr>
              <w:t xml:space="preserve"> / </w:t>
            </w:r>
            <w:r>
              <w:rPr>
                <w:rFonts w:ascii="Arial" w:hAnsi="Arial" w:cs="Arial"/>
                <w:i/>
                <w:iCs/>
              </w:rPr>
              <w:t>mai</w:t>
            </w:r>
            <w:r w:rsidRPr="00704446">
              <w:rPr>
                <w:rFonts w:ascii="Arial" w:hAnsi="Arial" w:cs="Arial"/>
                <w:i/>
                <w:iCs/>
              </w:rPr>
              <w:t xml:space="preserve"> 202</w:t>
            </w:r>
            <w:r>
              <w:rPr>
                <w:rFonts w:ascii="Arial" w:hAnsi="Arial" w:cs="Arial"/>
                <w:i/>
                <w:iCs/>
              </w:rPr>
              <w:t>2</w:t>
            </w:r>
            <w:r w:rsidRPr="00704446">
              <w:rPr>
                <w:rFonts w:ascii="Arial" w:hAnsi="Arial" w:cs="Arial"/>
                <w:i/>
                <w:iCs/>
              </w:rPr>
              <w:t xml:space="preserve"> → </w:t>
            </w:r>
            <w:r>
              <w:rPr>
                <w:rFonts w:ascii="Arial" w:hAnsi="Arial" w:cs="Arial"/>
                <w:i/>
                <w:iCs/>
              </w:rPr>
              <w:t>jan.</w:t>
            </w:r>
            <w:r w:rsidRPr="00704446">
              <w:rPr>
                <w:rFonts w:ascii="Arial" w:hAnsi="Arial" w:cs="Arial"/>
                <w:i/>
                <w:iCs/>
              </w:rPr>
              <w:t xml:space="preserve"> 202</w:t>
            </w:r>
            <w:r>
              <w:rPr>
                <w:rFonts w:ascii="Arial" w:hAnsi="Arial" w:cs="Arial"/>
                <w:i/>
                <w:iCs/>
              </w:rPr>
              <w:t>3</w:t>
            </w:r>
            <w:r w:rsidRPr="00704446">
              <w:rPr>
                <w:rFonts w:ascii="Arial" w:hAnsi="Arial" w:cs="Arial"/>
                <w:i/>
                <w:iCs/>
              </w:rPr>
              <w:t>)</w:t>
            </w:r>
          </w:p>
        </w:tc>
      </w:tr>
      <w:tr w:rsidR="0098517D" w:rsidRPr="004E3507" w14:paraId="622A9C1C" w14:textId="77777777" w:rsidTr="00D7242D">
        <w:tc>
          <w:tcPr>
            <w:tcW w:w="2258" w:type="dxa"/>
            <w:tcBorders>
              <w:top w:val="single" w:sz="2" w:space="0" w:color="000000" w:themeColor="text1"/>
              <w:bottom w:val="dashSmallGap" w:sz="4" w:space="0" w:color="000000" w:themeColor="text1"/>
            </w:tcBorders>
          </w:tcPr>
          <w:p w14:paraId="49673410" w14:textId="77777777" w:rsidR="0098517D" w:rsidRPr="00704446" w:rsidRDefault="0098517D" w:rsidP="00D7242D">
            <w:pPr>
              <w:jc w:val="center"/>
              <w:rPr>
                <w:rFonts w:ascii="Arial" w:hAnsi="Arial" w:cs="Arial"/>
              </w:rPr>
            </w:pPr>
            <w:r w:rsidRPr="00704446">
              <w:rPr>
                <w:rFonts w:ascii="Arial" w:hAnsi="Arial" w:cs="Arial"/>
              </w:rPr>
              <w:t>Autorisations</w:t>
            </w:r>
          </w:p>
        </w:tc>
        <w:tc>
          <w:tcPr>
            <w:tcW w:w="2260" w:type="dxa"/>
            <w:tcBorders>
              <w:top w:val="single" w:sz="2" w:space="0" w:color="000000" w:themeColor="text1"/>
              <w:bottom w:val="dashSmallGap" w:sz="4" w:space="0" w:color="000000" w:themeColor="text1"/>
            </w:tcBorders>
          </w:tcPr>
          <w:p w14:paraId="17451A23" w14:textId="77777777" w:rsidR="0098517D" w:rsidRPr="00704446" w:rsidRDefault="0098517D" w:rsidP="00D7242D">
            <w:pPr>
              <w:jc w:val="center"/>
              <w:rPr>
                <w:rFonts w:ascii="Arial" w:hAnsi="Arial" w:cs="Arial"/>
              </w:rPr>
            </w:pPr>
            <w:r>
              <w:rPr>
                <w:rFonts w:ascii="Arial" w:hAnsi="Arial" w:cs="Arial"/>
              </w:rPr>
              <w:t>-20,1 %</w:t>
            </w:r>
          </w:p>
        </w:tc>
        <w:tc>
          <w:tcPr>
            <w:tcW w:w="2263" w:type="dxa"/>
            <w:tcBorders>
              <w:top w:val="single" w:sz="2" w:space="0" w:color="000000" w:themeColor="text1"/>
              <w:bottom w:val="dashSmallGap" w:sz="4" w:space="0" w:color="000000" w:themeColor="text1"/>
            </w:tcBorders>
          </w:tcPr>
          <w:p w14:paraId="51087FC3" w14:textId="77777777" w:rsidR="0098517D" w:rsidRPr="00704446" w:rsidRDefault="0098517D" w:rsidP="00D7242D">
            <w:pPr>
              <w:jc w:val="center"/>
              <w:rPr>
                <w:rFonts w:ascii="Arial" w:hAnsi="Arial" w:cs="Arial"/>
              </w:rPr>
            </w:pPr>
            <w:r>
              <w:rPr>
                <w:rFonts w:ascii="Arial" w:hAnsi="Arial" w:cs="Arial"/>
              </w:rPr>
              <w:t>-19,0 %</w:t>
            </w:r>
          </w:p>
        </w:tc>
        <w:tc>
          <w:tcPr>
            <w:tcW w:w="2261" w:type="dxa"/>
            <w:tcBorders>
              <w:top w:val="single" w:sz="2" w:space="0" w:color="000000" w:themeColor="text1"/>
              <w:bottom w:val="dashSmallGap" w:sz="4" w:space="0" w:color="000000" w:themeColor="text1"/>
            </w:tcBorders>
          </w:tcPr>
          <w:p w14:paraId="4E1A4DE1" w14:textId="77777777" w:rsidR="0098517D" w:rsidRPr="00704446" w:rsidRDefault="0098517D" w:rsidP="00D7242D">
            <w:pPr>
              <w:jc w:val="center"/>
              <w:rPr>
                <w:rFonts w:ascii="Arial" w:hAnsi="Arial" w:cs="Arial"/>
              </w:rPr>
            </w:pPr>
            <w:r>
              <w:rPr>
                <w:rFonts w:ascii="Arial" w:hAnsi="Arial" w:cs="Arial"/>
              </w:rPr>
              <w:t>-19,4 %</w:t>
            </w:r>
          </w:p>
        </w:tc>
      </w:tr>
      <w:tr w:rsidR="0098517D" w:rsidRPr="004E3507" w14:paraId="6E941820" w14:textId="77777777" w:rsidTr="00D7242D">
        <w:tc>
          <w:tcPr>
            <w:tcW w:w="2258" w:type="dxa"/>
            <w:tcBorders>
              <w:top w:val="dashSmallGap" w:sz="4" w:space="0" w:color="000000" w:themeColor="text1"/>
              <w:bottom w:val="single" w:sz="2" w:space="0" w:color="000000" w:themeColor="text1"/>
            </w:tcBorders>
          </w:tcPr>
          <w:p w14:paraId="17B3C32E" w14:textId="77777777" w:rsidR="0098517D" w:rsidRPr="00704446" w:rsidRDefault="0098517D" w:rsidP="00D7242D">
            <w:pPr>
              <w:jc w:val="center"/>
              <w:rPr>
                <w:rFonts w:ascii="Arial" w:hAnsi="Arial" w:cs="Arial"/>
              </w:rPr>
            </w:pPr>
            <w:r w:rsidRPr="00704446">
              <w:rPr>
                <w:rFonts w:ascii="Arial" w:hAnsi="Arial" w:cs="Arial"/>
              </w:rPr>
              <w:t>Mises en chantier</w:t>
            </w:r>
          </w:p>
        </w:tc>
        <w:tc>
          <w:tcPr>
            <w:tcW w:w="2260" w:type="dxa"/>
            <w:tcBorders>
              <w:top w:val="dashSmallGap" w:sz="4" w:space="0" w:color="000000" w:themeColor="text1"/>
              <w:bottom w:val="single" w:sz="2" w:space="0" w:color="000000" w:themeColor="text1"/>
            </w:tcBorders>
          </w:tcPr>
          <w:p w14:paraId="6653697D" w14:textId="77777777" w:rsidR="0098517D" w:rsidRPr="00704446" w:rsidRDefault="0098517D" w:rsidP="00D7242D">
            <w:pPr>
              <w:jc w:val="center"/>
              <w:rPr>
                <w:rFonts w:ascii="Arial" w:hAnsi="Arial" w:cs="Arial"/>
              </w:rPr>
            </w:pPr>
            <w:r>
              <w:rPr>
                <w:rFonts w:ascii="Arial" w:hAnsi="Arial" w:cs="Arial"/>
              </w:rPr>
              <w:t>-28,9 %</w:t>
            </w:r>
          </w:p>
        </w:tc>
        <w:tc>
          <w:tcPr>
            <w:tcW w:w="2263" w:type="dxa"/>
            <w:tcBorders>
              <w:top w:val="dashSmallGap" w:sz="4" w:space="0" w:color="000000" w:themeColor="text1"/>
              <w:bottom w:val="single" w:sz="2" w:space="0" w:color="000000" w:themeColor="text1"/>
            </w:tcBorders>
          </w:tcPr>
          <w:p w14:paraId="2902DFF1" w14:textId="77777777" w:rsidR="0098517D" w:rsidRPr="00704446" w:rsidRDefault="0098517D" w:rsidP="00D7242D">
            <w:pPr>
              <w:jc w:val="center"/>
              <w:rPr>
                <w:rFonts w:ascii="Arial" w:hAnsi="Arial" w:cs="Arial"/>
              </w:rPr>
            </w:pPr>
            <w:r>
              <w:rPr>
                <w:rFonts w:ascii="Arial" w:hAnsi="Arial" w:cs="Arial"/>
              </w:rPr>
              <w:t>-21,4 %</w:t>
            </w:r>
          </w:p>
        </w:tc>
        <w:tc>
          <w:tcPr>
            <w:tcW w:w="2261" w:type="dxa"/>
            <w:tcBorders>
              <w:top w:val="dashSmallGap" w:sz="4" w:space="0" w:color="000000" w:themeColor="text1"/>
              <w:bottom w:val="single" w:sz="2" w:space="0" w:color="000000" w:themeColor="text1"/>
            </w:tcBorders>
          </w:tcPr>
          <w:p w14:paraId="6E55D9DE" w14:textId="77777777" w:rsidR="0098517D" w:rsidRPr="00704446" w:rsidRDefault="0098517D" w:rsidP="00D7242D">
            <w:pPr>
              <w:jc w:val="center"/>
              <w:rPr>
                <w:rFonts w:ascii="Arial" w:hAnsi="Arial" w:cs="Arial"/>
              </w:rPr>
            </w:pPr>
            <w:r>
              <w:rPr>
                <w:rFonts w:ascii="Arial" w:hAnsi="Arial" w:cs="Arial"/>
              </w:rPr>
              <w:t>-24,6 %</w:t>
            </w:r>
          </w:p>
        </w:tc>
      </w:tr>
      <w:tr w:rsidR="0098517D" w:rsidRPr="004E3507" w14:paraId="228547A1" w14:textId="77777777" w:rsidTr="00D7242D">
        <w:tc>
          <w:tcPr>
            <w:tcW w:w="9042" w:type="dxa"/>
            <w:gridSpan w:val="4"/>
            <w:tcBorders>
              <w:top w:val="single" w:sz="2" w:space="0" w:color="000000" w:themeColor="text1"/>
            </w:tcBorders>
          </w:tcPr>
          <w:p w14:paraId="426E74D8" w14:textId="77777777" w:rsidR="0098517D" w:rsidRPr="00704446" w:rsidRDefault="0098517D" w:rsidP="00D7242D">
            <w:pPr>
              <w:jc w:val="center"/>
              <w:rPr>
                <w:rFonts w:ascii="Arial" w:hAnsi="Arial" w:cs="Arial"/>
              </w:rPr>
            </w:pPr>
          </w:p>
        </w:tc>
      </w:tr>
      <w:tr w:rsidR="0098517D" w:rsidRPr="004E3507" w14:paraId="6BB73013" w14:textId="77777777" w:rsidTr="00D7242D">
        <w:tc>
          <w:tcPr>
            <w:tcW w:w="9042" w:type="dxa"/>
            <w:gridSpan w:val="4"/>
            <w:tcBorders>
              <w:bottom w:val="single" w:sz="2" w:space="0" w:color="000000" w:themeColor="text1"/>
            </w:tcBorders>
          </w:tcPr>
          <w:p w14:paraId="6E19B810" w14:textId="77777777" w:rsidR="0098517D" w:rsidRPr="00CC60E5" w:rsidRDefault="0098517D" w:rsidP="00D7242D">
            <w:pPr>
              <w:jc w:val="center"/>
              <w:rPr>
                <w:rFonts w:ascii="Arial" w:hAnsi="Arial" w:cs="Arial"/>
                <w:i/>
                <w:iCs/>
              </w:rPr>
            </w:pPr>
            <w:r w:rsidRPr="00CC60E5">
              <w:rPr>
                <w:rFonts w:ascii="Arial" w:hAnsi="Arial" w:cs="Arial"/>
                <w:i/>
                <w:iCs/>
              </w:rPr>
              <w:t>Sur un an (fév. 202</w:t>
            </w:r>
            <w:r>
              <w:rPr>
                <w:rFonts w:ascii="Arial" w:hAnsi="Arial" w:cs="Arial"/>
                <w:i/>
                <w:iCs/>
              </w:rPr>
              <w:t>3</w:t>
            </w:r>
            <w:r w:rsidRPr="00CC60E5">
              <w:rPr>
                <w:rFonts w:ascii="Arial" w:hAnsi="Arial" w:cs="Arial"/>
                <w:i/>
                <w:iCs/>
              </w:rPr>
              <w:t xml:space="preserve"> → jan. 202</w:t>
            </w:r>
            <w:r>
              <w:rPr>
                <w:rFonts w:ascii="Arial" w:hAnsi="Arial" w:cs="Arial"/>
                <w:i/>
                <w:iCs/>
              </w:rPr>
              <w:t>4</w:t>
            </w:r>
            <w:r w:rsidRPr="00CC60E5">
              <w:rPr>
                <w:rFonts w:ascii="Arial" w:hAnsi="Arial" w:cs="Arial"/>
                <w:i/>
                <w:iCs/>
              </w:rPr>
              <w:t xml:space="preserve"> / fév. 202</w:t>
            </w:r>
            <w:r>
              <w:rPr>
                <w:rFonts w:ascii="Arial" w:hAnsi="Arial" w:cs="Arial"/>
                <w:i/>
                <w:iCs/>
              </w:rPr>
              <w:t>2</w:t>
            </w:r>
            <w:r w:rsidRPr="00CC60E5">
              <w:rPr>
                <w:rFonts w:ascii="Arial" w:hAnsi="Arial" w:cs="Arial"/>
                <w:i/>
                <w:iCs/>
              </w:rPr>
              <w:t xml:space="preserve"> → jan. 202</w:t>
            </w:r>
            <w:r>
              <w:rPr>
                <w:rFonts w:ascii="Arial" w:hAnsi="Arial" w:cs="Arial"/>
                <w:i/>
                <w:iCs/>
              </w:rPr>
              <w:t>3</w:t>
            </w:r>
            <w:r w:rsidRPr="00CC60E5">
              <w:rPr>
                <w:rFonts w:ascii="Arial" w:hAnsi="Arial" w:cs="Arial"/>
                <w:i/>
                <w:iCs/>
              </w:rPr>
              <w:t>)</w:t>
            </w:r>
          </w:p>
        </w:tc>
      </w:tr>
      <w:tr w:rsidR="0098517D" w:rsidRPr="004E3507" w14:paraId="302D2385" w14:textId="77777777" w:rsidTr="00D7242D">
        <w:tc>
          <w:tcPr>
            <w:tcW w:w="2258" w:type="dxa"/>
            <w:tcBorders>
              <w:top w:val="single" w:sz="2" w:space="0" w:color="000000" w:themeColor="text1"/>
              <w:bottom w:val="dashSmallGap" w:sz="4" w:space="0" w:color="000000" w:themeColor="text1"/>
            </w:tcBorders>
          </w:tcPr>
          <w:p w14:paraId="6DBC4941" w14:textId="77777777" w:rsidR="0098517D" w:rsidRPr="00CC60E5" w:rsidRDefault="0098517D" w:rsidP="00D7242D">
            <w:pPr>
              <w:jc w:val="center"/>
              <w:rPr>
                <w:rFonts w:ascii="Arial" w:hAnsi="Arial" w:cs="Arial"/>
              </w:rPr>
            </w:pPr>
            <w:r w:rsidRPr="00CC60E5">
              <w:rPr>
                <w:rFonts w:ascii="Arial" w:hAnsi="Arial" w:cs="Arial"/>
              </w:rPr>
              <w:t>Autorisations</w:t>
            </w:r>
          </w:p>
        </w:tc>
        <w:tc>
          <w:tcPr>
            <w:tcW w:w="2260" w:type="dxa"/>
            <w:tcBorders>
              <w:top w:val="single" w:sz="2" w:space="0" w:color="000000" w:themeColor="text1"/>
              <w:bottom w:val="dashSmallGap" w:sz="4" w:space="0" w:color="000000" w:themeColor="text1"/>
            </w:tcBorders>
          </w:tcPr>
          <w:p w14:paraId="6B53224B" w14:textId="77777777" w:rsidR="0098517D" w:rsidRPr="00CC60E5" w:rsidRDefault="0098517D" w:rsidP="00D7242D">
            <w:pPr>
              <w:jc w:val="center"/>
              <w:rPr>
                <w:rFonts w:ascii="Arial" w:hAnsi="Arial" w:cs="Arial"/>
              </w:rPr>
            </w:pPr>
            <w:r>
              <w:rPr>
                <w:rFonts w:ascii="Arial" w:hAnsi="Arial" w:cs="Arial"/>
              </w:rPr>
              <w:t>-27,8 %</w:t>
            </w:r>
          </w:p>
        </w:tc>
        <w:tc>
          <w:tcPr>
            <w:tcW w:w="2263" w:type="dxa"/>
            <w:tcBorders>
              <w:top w:val="single" w:sz="2" w:space="0" w:color="000000" w:themeColor="text1"/>
              <w:bottom w:val="dashSmallGap" w:sz="4" w:space="0" w:color="000000" w:themeColor="text1"/>
            </w:tcBorders>
          </w:tcPr>
          <w:p w14:paraId="6F5795CC" w14:textId="77777777" w:rsidR="0098517D" w:rsidRPr="00CC60E5" w:rsidRDefault="0098517D" w:rsidP="00D7242D">
            <w:pPr>
              <w:jc w:val="center"/>
              <w:rPr>
                <w:rFonts w:ascii="Arial" w:hAnsi="Arial" w:cs="Arial"/>
              </w:rPr>
            </w:pPr>
            <w:r>
              <w:rPr>
                <w:rFonts w:ascii="Arial" w:hAnsi="Arial" w:cs="Arial"/>
              </w:rPr>
              <w:t>-20,5 %</w:t>
            </w:r>
          </w:p>
        </w:tc>
        <w:tc>
          <w:tcPr>
            <w:tcW w:w="2261" w:type="dxa"/>
            <w:tcBorders>
              <w:top w:val="single" w:sz="2" w:space="0" w:color="000000" w:themeColor="text1"/>
              <w:bottom w:val="dashSmallGap" w:sz="4" w:space="0" w:color="000000" w:themeColor="text1"/>
            </w:tcBorders>
          </w:tcPr>
          <w:p w14:paraId="0E1AAB5F" w14:textId="77777777" w:rsidR="0098517D" w:rsidRPr="00CC60E5" w:rsidRDefault="0098517D" w:rsidP="00D7242D">
            <w:pPr>
              <w:jc w:val="center"/>
              <w:rPr>
                <w:rFonts w:ascii="Arial" w:hAnsi="Arial" w:cs="Arial"/>
              </w:rPr>
            </w:pPr>
            <w:r>
              <w:rPr>
                <w:rFonts w:ascii="Arial" w:hAnsi="Arial" w:cs="Arial"/>
              </w:rPr>
              <w:t>-23,4 %</w:t>
            </w:r>
          </w:p>
        </w:tc>
      </w:tr>
      <w:tr w:rsidR="0098517D" w:rsidRPr="004E3507" w14:paraId="787E3D97" w14:textId="77777777" w:rsidTr="00D7242D">
        <w:tc>
          <w:tcPr>
            <w:tcW w:w="2258" w:type="dxa"/>
            <w:tcBorders>
              <w:top w:val="dashSmallGap" w:sz="4" w:space="0" w:color="000000" w:themeColor="text1"/>
              <w:bottom w:val="single" w:sz="12" w:space="0" w:color="000000" w:themeColor="text1"/>
            </w:tcBorders>
          </w:tcPr>
          <w:p w14:paraId="4EB86E25" w14:textId="77777777" w:rsidR="0098517D" w:rsidRPr="00CC60E5" w:rsidRDefault="0098517D" w:rsidP="00D7242D">
            <w:pPr>
              <w:jc w:val="center"/>
              <w:rPr>
                <w:rFonts w:ascii="Arial" w:hAnsi="Arial" w:cs="Arial"/>
              </w:rPr>
            </w:pPr>
            <w:r w:rsidRPr="00CC60E5">
              <w:rPr>
                <w:rFonts w:ascii="Arial" w:hAnsi="Arial" w:cs="Arial"/>
              </w:rPr>
              <w:t>Mises en chantier</w:t>
            </w:r>
          </w:p>
        </w:tc>
        <w:tc>
          <w:tcPr>
            <w:tcW w:w="2260" w:type="dxa"/>
            <w:tcBorders>
              <w:top w:val="dashSmallGap" w:sz="4" w:space="0" w:color="000000" w:themeColor="text1"/>
              <w:bottom w:val="single" w:sz="12" w:space="0" w:color="000000" w:themeColor="text1"/>
            </w:tcBorders>
          </w:tcPr>
          <w:p w14:paraId="14667090" w14:textId="77777777" w:rsidR="0098517D" w:rsidRPr="00CC60E5" w:rsidRDefault="0098517D" w:rsidP="00D7242D">
            <w:pPr>
              <w:jc w:val="center"/>
              <w:rPr>
                <w:rFonts w:ascii="Arial" w:hAnsi="Arial" w:cs="Arial"/>
              </w:rPr>
            </w:pPr>
            <w:r>
              <w:rPr>
                <w:rFonts w:ascii="Arial" w:hAnsi="Arial" w:cs="Arial"/>
              </w:rPr>
              <w:t>-28,6 %</w:t>
            </w:r>
          </w:p>
        </w:tc>
        <w:tc>
          <w:tcPr>
            <w:tcW w:w="2263" w:type="dxa"/>
            <w:tcBorders>
              <w:top w:val="dashSmallGap" w:sz="4" w:space="0" w:color="000000" w:themeColor="text1"/>
              <w:bottom w:val="single" w:sz="12" w:space="0" w:color="000000" w:themeColor="text1"/>
            </w:tcBorders>
          </w:tcPr>
          <w:p w14:paraId="38F9061A" w14:textId="77777777" w:rsidR="0098517D" w:rsidRPr="00CC60E5" w:rsidRDefault="0098517D" w:rsidP="00D7242D">
            <w:pPr>
              <w:jc w:val="center"/>
              <w:rPr>
                <w:rFonts w:ascii="Arial" w:hAnsi="Arial" w:cs="Arial"/>
              </w:rPr>
            </w:pPr>
            <w:r>
              <w:rPr>
                <w:rFonts w:ascii="Arial" w:hAnsi="Arial" w:cs="Arial"/>
              </w:rPr>
              <w:t>-21,3 %</w:t>
            </w:r>
          </w:p>
        </w:tc>
        <w:tc>
          <w:tcPr>
            <w:tcW w:w="2261" w:type="dxa"/>
            <w:tcBorders>
              <w:top w:val="dashSmallGap" w:sz="4" w:space="0" w:color="000000" w:themeColor="text1"/>
              <w:bottom w:val="single" w:sz="12" w:space="0" w:color="000000" w:themeColor="text1"/>
            </w:tcBorders>
          </w:tcPr>
          <w:p w14:paraId="446BD95A" w14:textId="77777777" w:rsidR="0098517D" w:rsidRPr="00CC60E5" w:rsidRDefault="0098517D" w:rsidP="00D7242D">
            <w:pPr>
              <w:jc w:val="center"/>
              <w:rPr>
                <w:rFonts w:ascii="Arial" w:hAnsi="Arial" w:cs="Arial"/>
              </w:rPr>
            </w:pPr>
            <w:r>
              <w:rPr>
                <w:rFonts w:ascii="Arial" w:hAnsi="Arial" w:cs="Arial"/>
              </w:rPr>
              <w:t>-24,6 %</w:t>
            </w:r>
          </w:p>
        </w:tc>
      </w:tr>
    </w:tbl>
    <w:p w14:paraId="7147978E" w14:textId="77777777" w:rsidR="000F1C9B" w:rsidRDefault="000F1C9B" w:rsidP="008173A1">
      <w:pPr>
        <w:spacing w:after="120" w:line="240" w:lineRule="auto"/>
        <w:jc w:val="center"/>
        <w:rPr>
          <w:rFonts w:ascii="Arial" w:hAnsi="Arial" w:cs="Arial"/>
        </w:rPr>
      </w:pPr>
      <w:r w:rsidRPr="00A665B6">
        <w:rPr>
          <w:rFonts w:ascii="Arial" w:hAnsi="Arial" w:cs="Arial"/>
          <w:i/>
          <w:sz w:val="20"/>
          <w:szCs w:val="20"/>
        </w:rPr>
        <w:t xml:space="preserve">Source : </w:t>
      </w:r>
      <w:r>
        <w:rPr>
          <w:rFonts w:ascii="Arial" w:hAnsi="Arial" w:cs="Arial"/>
          <w:i/>
          <w:sz w:val="20"/>
          <w:szCs w:val="20"/>
        </w:rPr>
        <w:t xml:space="preserve">FFB d’après </w:t>
      </w:r>
      <w:r w:rsidRPr="00DE26A0">
        <w:rPr>
          <w:rFonts w:ascii="Arial" w:hAnsi="Arial" w:cs="Arial"/>
          <w:i/>
          <w:sz w:val="20"/>
          <w:szCs w:val="20"/>
        </w:rPr>
        <w:t>Ministère de la transition écologique</w:t>
      </w:r>
      <w:r>
        <w:rPr>
          <w:rFonts w:ascii="Arial" w:hAnsi="Arial" w:cs="Arial"/>
          <w:i/>
          <w:sz w:val="20"/>
          <w:szCs w:val="20"/>
        </w:rPr>
        <w:t xml:space="preserve"> et de la cohésion des territoires</w:t>
      </w:r>
      <w:r w:rsidRPr="00DE26A0">
        <w:rPr>
          <w:rFonts w:ascii="Arial" w:hAnsi="Arial" w:cs="Arial"/>
          <w:i/>
          <w:sz w:val="20"/>
          <w:szCs w:val="20"/>
        </w:rPr>
        <w:t xml:space="preserve"> (MTE</w:t>
      </w:r>
      <w:r>
        <w:rPr>
          <w:rFonts w:ascii="Arial" w:hAnsi="Arial" w:cs="Arial"/>
          <w:i/>
          <w:sz w:val="20"/>
          <w:szCs w:val="20"/>
        </w:rPr>
        <w:t>CT</w:t>
      </w:r>
      <w:r w:rsidRPr="00DE26A0">
        <w:rPr>
          <w:rFonts w:ascii="Arial" w:hAnsi="Arial" w:cs="Arial"/>
          <w:i/>
          <w:sz w:val="20"/>
          <w:szCs w:val="20"/>
        </w:rPr>
        <w:t>) / Commissariat général au développement durable (CGDD) / Service de la donnée et des études statistiques (SDES)</w:t>
      </w:r>
      <w:r w:rsidRPr="00A665B6">
        <w:rPr>
          <w:rFonts w:ascii="Arial" w:hAnsi="Arial" w:cs="Arial"/>
          <w:i/>
          <w:sz w:val="20"/>
          <w:szCs w:val="20"/>
        </w:rPr>
        <w:t>, Sit@del2</w:t>
      </w:r>
      <w:r>
        <w:rPr>
          <w:rFonts w:ascii="Arial" w:hAnsi="Arial" w:cs="Arial"/>
          <w:i/>
          <w:sz w:val="20"/>
          <w:szCs w:val="20"/>
        </w:rPr>
        <w:t xml:space="preserve"> </w:t>
      </w:r>
    </w:p>
    <w:p w14:paraId="46D28C3B" w14:textId="0437EE1D" w:rsidR="0057528B" w:rsidRPr="00144715" w:rsidRDefault="0057528B" w:rsidP="0057528B">
      <w:pPr>
        <w:spacing w:after="120" w:line="360" w:lineRule="auto"/>
        <w:jc w:val="both"/>
        <w:rPr>
          <w:rFonts w:ascii="Arial" w:hAnsi="Arial" w:cs="Arial"/>
        </w:rPr>
      </w:pPr>
      <w:r w:rsidRPr="00144715">
        <w:rPr>
          <w:rFonts w:ascii="Arial" w:hAnsi="Arial" w:cs="Arial"/>
        </w:rPr>
        <w:t>En revanche, sur la même période, la baisse des permis se tasse nettement, à -2,1</w:t>
      </w:r>
      <w:r w:rsidR="00144715" w:rsidRPr="00144715">
        <w:rPr>
          <w:rFonts w:ascii="Arial" w:hAnsi="Arial" w:cs="Arial"/>
        </w:rPr>
        <w:t> </w:t>
      </w:r>
      <w:r w:rsidRPr="00144715">
        <w:rPr>
          <w:rFonts w:ascii="Arial" w:hAnsi="Arial" w:cs="Arial"/>
        </w:rPr>
        <w:t>%. Mais cela s’explique seulement par l’effet de base post-RE2020 dans le collectif, qui se lit en hausse de 8,6</w:t>
      </w:r>
      <w:r w:rsidR="00144715" w:rsidRPr="00144715">
        <w:rPr>
          <w:rFonts w:ascii="Arial" w:hAnsi="Arial" w:cs="Arial"/>
        </w:rPr>
        <w:t> </w:t>
      </w:r>
      <w:r w:rsidRPr="00144715">
        <w:rPr>
          <w:rFonts w:ascii="Arial" w:hAnsi="Arial" w:cs="Arial"/>
        </w:rPr>
        <w:t>%, alors que l’individuel continue de chuter très lourdement, à -15,8</w:t>
      </w:r>
      <w:r w:rsidR="00144715" w:rsidRPr="00144715">
        <w:rPr>
          <w:rFonts w:ascii="Arial" w:hAnsi="Arial" w:cs="Arial"/>
        </w:rPr>
        <w:t> </w:t>
      </w:r>
      <w:r w:rsidRPr="00144715">
        <w:rPr>
          <w:rFonts w:ascii="Arial" w:hAnsi="Arial" w:cs="Arial"/>
        </w:rPr>
        <w:t>%.</w:t>
      </w:r>
    </w:p>
    <w:p w14:paraId="17668369" w14:textId="65A0FACA" w:rsidR="00644165" w:rsidRPr="00144715" w:rsidRDefault="001B6526" w:rsidP="0054603B">
      <w:pPr>
        <w:spacing w:after="120" w:line="360" w:lineRule="auto"/>
        <w:jc w:val="both"/>
        <w:rPr>
          <w:rFonts w:ascii="Arial" w:hAnsi="Arial" w:cs="Arial"/>
        </w:rPr>
      </w:pPr>
      <w:r w:rsidRPr="00144715">
        <w:rPr>
          <w:rFonts w:ascii="Arial" w:hAnsi="Arial" w:cs="Arial"/>
        </w:rPr>
        <w:t>À l’échelon régional, toujours en glissement annuel sur trois mois à fin janvier 2024</w:t>
      </w:r>
      <w:r w:rsidR="00E0611E" w:rsidRPr="00144715">
        <w:rPr>
          <w:rFonts w:ascii="Arial" w:hAnsi="Arial" w:cs="Arial"/>
        </w:rPr>
        <w:t xml:space="preserve">, les mises en chantier de logements </w:t>
      </w:r>
      <w:r w:rsidR="00D80909" w:rsidRPr="00144715">
        <w:rPr>
          <w:rFonts w:ascii="Arial" w:hAnsi="Arial" w:cs="Arial"/>
        </w:rPr>
        <w:t>chutent</w:t>
      </w:r>
      <w:r w:rsidR="00E0611E" w:rsidRPr="00144715">
        <w:rPr>
          <w:rFonts w:ascii="Arial" w:hAnsi="Arial" w:cs="Arial"/>
        </w:rPr>
        <w:t xml:space="preserve"> fortement </w:t>
      </w:r>
      <w:r w:rsidRPr="00144715">
        <w:rPr>
          <w:rFonts w:ascii="Arial" w:hAnsi="Arial" w:cs="Arial"/>
        </w:rPr>
        <w:t>partout</w:t>
      </w:r>
      <w:r w:rsidR="004D1E12" w:rsidRPr="00144715">
        <w:rPr>
          <w:rFonts w:ascii="Arial" w:hAnsi="Arial" w:cs="Arial"/>
        </w:rPr>
        <w:t xml:space="preserve"> (cf. carte 1a)</w:t>
      </w:r>
      <w:r w:rsidR="00E0611E" w:rsidRPr="00144715">
        <w:rPr>
          <w:rFonts w:ascii="Arial" w:hAnsi="Arial" w:cs="Arial"/>
        </w:rPr>
        <w:t>.</w:t>
      </w:r>
      <w:r w:rsidR="006225CF" w:rsidRPr="00144715">
        <w:rPr>
          <w:rFonts w:ascii="Arial" w:hAnsi="Arial" w:cs="Arial"/>
        </w:rPr>
        <w:t xml:space="preserve"> Il en va de même des </w:t>
      </w:r>
      <w:r w:rsidR="006225CF" w:rsidRPr="00144715">
        <w:rPr>
          <w:rFonts w:ascii="Arial" w:hAnsi="Arial" w:cs="Arial"/>
        </w:rPr>
        <w:lastRenderedPageBreak/>
        <w:t>autorisations</w:t>
      </w:r>
      <w:r w:rsidR="00037ED1">
        <w:rPr>
          <w:rFonts w:ascii="Arial" w:hAnsi="Arial" w:cs="Arial"/>
        </w:rPr>
        <w:t xml:space="preserve"> (cf. carte 1b)</w:t>
      </w:r>
      <w:r w:rsidR="006225CF" w:rsidRPr="00144715">
        <w:rPr>
          <w:rFonts w:ascii="Arial" w:hAnsi="Arial" w:cs="Arial"/>
        </w:rPr>
        <w:t>, hormis pour les Hauts-de-France, la Corse, l’Île-de-France, la Bretagne</w:t>
      </w:r>
      <w:r w:rsidR="00B4791E" w:rsidRPr="00144715">
        <w:rPr>
          <w:rFonts w:ascii="Arial" w:hAnsi="Arial" w:cs="Arial"/>
        </w:rPr>
        <w:t>,</w:t>
      </w:r>
      <w:r w:rsidR="006225CF" w:rsidRPr="00144715">
        <w:rPr>
          <w:rFonts w:ascii="Arial" w:hAnsi="Arial" w:cs="Arial"/>
        </w:rPr>
        <w:t xml:space="preserve"> </w:t>
      </w:r>
      <w:r w:rsidR="00B4791E" w:rsidRPr="00144715">
        <w:rPr>
          <w:rFonts w:ascii="Arial" w:hAnsi="Arial" w:cs="Arial"/>
        </w:rPr>
        <w:t xml:space="preserve">Occitanie et </w:t>
      </w:r>
      <w:r w:rsidR="006225CF" w:rsidRPr="00144715">
        <w:rPr>
          <w:rFonts w:ascii="Arial" w:hAnsi="Arial" w:cs="Arial"/>
        </w:rPr>
        <w:t>Grand</w:t>
      </w:r>
      <w:r w:rsidR="00B4791E" w:rsidRPr="00144715">
        <w:rPr>
          <w:rFonts w:ascii="Arial" w:hAnsi="Arial" w:cs="Arial"/>
        </w:rPr>
        <w:t xml:space="preserve"> </w:t>
      </w:r>
      <w:r w:rsidR="006225CF" w:rsidRPr="00144715">
        <w:rPr>
          <w:rFonts w:ascii="Arial" w:hAnsi="Arial" w:cs="Arial"/>
        </w:rPr>
        <w:t>Est qui se lisent en territoire positif.</w:t>
      </w:r>
    </w:p>
    <w:p w14:paraId="73373D3A" w14:textId="71C31C3D" w:rsidR="000E0E41" w:rsidRPr="00B70B58" w:rsidRDefault="000E0E41" w:rsidP="000E0E41">
      <w:pPr>
        <w:spacing w:after="0" w:line="360" w:lineRule="auto"/>
        <w:jc w:val="center"/>
        <w:rPr>
          <w:rFonts w:ascii="Arial" w:hAnsi="Arial" w:cs="Arial"/>
        </w:rPr>
      </w:pPr>
      <w:r w:rsidRPr="00B70B58">
        <w:rPr>
          <w:rFonts w:ascii="Arial" w:hAnsi="Arial" w:cs="Arial"/>
        </w:rPr>
        <w:t xml:space="preserve">Cartes </w:t>
      </w:r>
      <w:r w:rsidR="00AB0CD0">
        <w:rPr>
          <w:rFonts w:ascii="Arial" w:hAnsi="Arial" w:cs="Arial"/>
        </w:rPr>
        <w:t>1</w:t>
      </w:r>
      <w:r w:rsidRPr="00B70B58">
        <w:rPr>
          <w:rFonts w:ascii="Arial" w:hAnsi="Arial" w:cs="Arial"/>
        </w:rPr>
        <w:t xml:space="preserve">a et </w:t>
      </w:r>
      <w:r w:rsidR="00AB0CD0">
        <w:rPr>
          <w:rFonts w:ascii="Arial" w:hAnsi="Arial" w:cs="Arial"/>
        </w:rPr>
        <w:t>1</w:t>
      </w:r>
      <w:r w:rsidRPr="00B70B58">
        <w:rPr>
          <w:rFonts w:ascii="Arial" w:hAnsi="Arial" w:cs="Arial"/>
        </w:rPr>
        <w:t xml:space="preserve">b – </w:t>
      </w:r>
      <w:r w:rsidR="00BA174A">
        <w:rPr>
          <w:rFonts w:ascii="Arial" w:hAnsi="Arial" w:cs="Arial"/>
          <w:b/>
        </w:rPr>
        <w:t xml:space="preserve">Évolutions régionales </w:t>
      </w:r>
      <w:r w:rsidR="00BA174A" w:rsidRPr="00B70B58">
        <w:rPr>
          <w:rFonts w:ascii="Arial" w:hAnsi="Arial" w:cs="Arial"/>
        </w:rPr>
        <w:t>(en</w:t>
      </w:r>
      <w:r w:rsidR="00BA174A">
        <w:rPr>
          <w:rFonts w:ascii="Arial" w:hAnsi="Arial" w:cs="Arial"/>
        </w:rPr>
        <w:t> %</w:t>
      </w:r>
      <w:r w:rsidR="00BA174A" w:rsidRPr="00B70B58">
        <w:rPr>
          <w:rFonts w:ascii="Arial" w:hAnsi="Arial" w:cs="Arial"/>
        </w:rPr>
        <w:t>)</w:t>
      </w:r>
      <w:r w:rsidR="00BA174A">
        <w:rPr>
          <w:rFonts w:ascii="Arial" w:hAnsi="Arial" w:cs="Arial"/>
        </w:rPr>
        <w:t xml:space="preserve"> </w:t>
      </w:r>
      <w:r w:rsidR="00BA174A" w:rsidRPr="00B70B58">
        <w:rPr>
          <w:rFonts w:ascii="Arial" w:hAnsi="Arial" w:cs="Arial"/>
          <w:b/>
        </w:rPr>
        <w:t xml:space="preserve">des mises en chantier et autorisations de logements </w:t>
      </w:r>
      <w:r w:rsidR="00BA174A">
        <w:rPr>
          <w:rFonts w:ascii="Arial" w:hAnsi="Arial" w:cs="Arial"/>
          <w:b/>
        </w:rPr>
        <w:t xml:space="preserve">en </w:t>
      </w:r>
      <w:r w:rsidR="009514AE">
        <w:rPr>
          <w:rFonts w:ascii="Arial" w:hAnsi="Arial" w:cs="Arial"/>
          <w:b/>
        </w:rPr>
        <w:t>glissement annuel sur trois mois à fin janvier 2024</w:t>
      </w:r>
      <w:r w:rsidRPr="00B70B58">
        <w:rPr>
          <w:rFonts w:ascii="Arial" w:hAnsi="Arial" w:cs="Arial"/>
          <w:b/>
        </w:rPr>
        <w:t xml:space="preserve"> </w:t>
      </w:r>
    </w:p>
    <w:p w14:paraId="2934D661" w14:textId="4C27EE29" w:rsidR="000E0E41" w:rsidRPr="00407827" w:rsidRDefault="006A3C08" w:rsidP="003332FC">
      <w:pPr>
        <w:pBdr>
          <w:top w:val="single" w:sz="4" w:space="1" w:color="auto"/>
          <w:left w:val="single" w:sz="4" w:space="4" w:color="auto"/>
          <w:bottom w:val="single" w:sz="4" w:space="1" w:color="auto"/>
          <w:right w:val="single" w:sz="4" w:space="4" w:color="auto"/>
        </w:pBdr>
        <w:spacing w:after="60" w:line="240" w:lineRule="auto"/>
        <w:jc w:val="center"/>
        <w:rPr>
          <w:rFonts w:ascii="Arial" w:hAnsi="Arial" w:cs="Arial"/>
        </w:rPr>
      </w:pPr>
      <w:r>
        <w:rPr>
          <w:rFonts w:ascii="Arial" w:hAnsi="Arial" w:cs="Arial"/>
          <w:noProof/>
        </w:rPr>
        <w:drawing>
          <wp:inline distT="0" distB="0" distL="0" distR="0" wp14:anchorId="32E88631" wp14:editId="54F74528">
            <wp:extent cx="5760720" cy="2506345"/>
            <wp:effectExtent l="0" t="0" r="0" b="8255"/>
            <wp:docPr id="1661474582" name="Image 1"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74582" name="Image 1" descr="Une image contenant texte, carte&#10;&#10;Description générée automatiquement"/>
                    <pic:cNvPicPr/>
                  </pic:nvPicPr>
                  <pic:blipFill>
                    <a:blip r:embed="rId20">
                      <a:extLst>
                        <a:ext uri="{28A0092B-C50C-407E-A947-70E740481C1C}">
                          <a14:useLocalDpi xmlns:a14="http://schemas.microsoft.com/office/drawing/2010/main" val="0"/>
                        </a:ext>
                      </a:extLst>
                    </a:blip>
                    <a:stretch>
                      <a:fillRect/>
                    </a:stretch>
                  </pic:blipFill>
                  <pic:spPr>
                    <a:xfrm>
                      <a:off x="0" y="0"/>
                      <a:ext cx="5760720" cy="2506345"/>
                    </a:xfrm>
                    <a:prstGeom prst="rect">
                      <a:avLst/>
                    </a:prstGeom>
                  </pic:spPr>
                </pic:pic>
              </a:graphicData>
            </a:graphic>
          </wp:inline>
        </w:drawing>
      </w:r>
    </w:p>
    <w:p w14:paraId="6B1107E6" w14:textId="18F05BB2" w:rsidR="000E0E41" w:rsidRDefault="000E0E41" w:rsidP="000E0E41">
      <w:pPr>
        <w:spacing w:before="120" w:after="0" w:line="360" w:lineRule="auto"/>
        <w:jc w:val="center"/>
        <w:rPr>
          <w:rFonts w:ascii="Arial" w:hAnsi="Arial" w:cs="Arial"/>
          <w:i/>
          <w:sz w:val="20"/>
          <w:szCs w:val="20"/>
        </w:rPr>
      </w:pPr>
      <w:r w:rsidRPr="00767A96">
        <w:rPr>
          <w:rFonts w:ascii="Arial" w:hAnsi="Arial" w:cs="Arial"/>
          <w:i/>
          <w:sz w:val="20"/>
          <w:szCs w:val="20"/>
        </w:rPr>
        <w:t>Source : MTE</w:t>
      </w:r>
      <w:r>
        <w:rPr>
          <w:rFonts w:ascii="Arial" w:hAnsi="Arial" w:cs="Arial"/>
          <w:i/>
          <w:sz w:val="20"/>
          <w:szCs w:val="20"/>
        </w:rPr>
        <w:t>CT</w:t>
      </w:r>
      <w:r w:rsidRPr="00767A96">
        <w:rPr>
          <w:rFonts w:ascii="Arial" w:hAnsi="Arial" w:cs="Arial"/>
          <w:i/>
          <w:sz w:val="20"/>
          <w:szCs w:val="20"/>
        </w:rPr>
        <w:t xml:space="preserve">/CGDD/SDES, Sit@del2 </w:t>
      </w:r>
    </w:p>
    <w:p w14:paraId="0876D104" w14:textId="3A2EA2EA" w:rsidR="00406A76" w:rsidRPr="00406A76" w:rsidRDefault="00CF5465" w:rsidP="00C82383">
      <w:pPr>
        <w:spacing w:before="360" w:after="120" w:line="360" w:lineRule="auto"/>
        <w:rPr>
          <w:rFonts w:ascii="Arial" w:hAnsi="Arial" w:cs="Arial"/>
          <w:i/>
        </w:rPr>
      </w:pPr>
      <w:r>
        <w:rPr>
          <w:rFonts w:ascii="Arial" w:hAnsi="Arial" w:cs="Arial"/>
          <w:i/>
        </w:rPr>
        <w:t>2.1.</w:t>
      </w:r>
      <w:r w:rsidR="00644165">
        <w:rPr>
          <w:rFonts w:ascii="Arial" w:hAnsi="Arial" w:cs="Arial"/>
          <w:i/>
        </w:rPr>
        <w:t>2</w:t>
      </w:r>
      <w:r w:rsidR="00406A76" w:rsidRPr="00406A76">
        <w:rPr>
          <w:rFonts w:ascii="Arial" w:hAnsi="Arial" w:cs="Arial"/>
          <w:i/>
        </w:rPr>
        <w:t xml:space="preserve"> L</w:t>
      </w:r>
      <w:r w:rsidR="00644165">
        <w:rPr>
          <w:rFonts w:ascii="Arial" w:hAnsi="Arial" w:cs="Arial"/>
          <w:i/>
        </w:rPr>
        <w:t>’amont de la filière</w:t>
      </w:r>
    </w:p>
    <w:p w14:paraId="44A0F2AE" w14:textId="0D672FB4" w:rsidR="00DC5750" w:rsidRPr="00144715" w:rsidRDefault="00D34DDA" w:rsidP="00BF4F5F">
      <w:pPr>
        <w:spacing w:after="120" w:line="360" w:lineRule="auto"/>
        <w:jc w:val="both"/>
        <w:rPr>
          <w:rFonts w:ascii="Arial" w:hAnsi="Arial" w:cs="Arial"/>
        </w:rPr>
      </w:pPr>
      <w:r w:rsidRPr="00144715">
        <w:rPr>
          <w:rFonts w:ascii="Arial" w:hAnsi="Arial" w:cs="Arial"/>
        </w:rPr>
        <w:t>Les ventes de logements des promoteurs, y compris en bloc, chutent de 23,5 % en 2023</w:t>
      </w:r>
      <w:r w:rsidR="00B40A9A" w:rsidRPr="00144715">
        <w:rPr>
          <w:rFonts w:ascii="Arial" w:hAnsi="Arial" w:cs="Arial"/>
        </w:rPr>
        <w:t xml:space="preserve"> (cf. tableau 2)</w:t>
      </w:r>
      <w:r w:rsidRPr="00144715">
        <w:rPr>
          <w:rFonts w:ascii="Arial" w:hAnsi="Arial" w:cs="Arial"/>
        </w:rPr>
        <w:t>, après déjà -13,3 % en 2022.</w:t>
      </w:r>
    </w:p>
    <w:p w14:paraId="06F7BAA0" w14:textId="0BAF196D" w:rsidR="00E62B49" w:rsidRPr="00144715" w:rsidRDefault="00E62B49" w:rsidP="00E62B49">
      <w:pPr>
        <w:spacing w:after="120" w:line="360" w:lineRule="auto"/>
        <w:jc w:val="both"/>
        <w:rPr>
          <w:rFonts w:ascii="Arial" w:hAnsi="Arial" w:cs="Arial"/>
        </w:rPr>
      </w:pPr>
      <w:r w:rsidRPr="00144715">
        <w:rPr>
          <w:rFonts w:ascii="Arial" w:hAnsi="Arial" w:cs="Arial"/>
        </w:rPr>
        <w:t xml:space="preserve">Sur le seul segment des ventes </w:t>
      </w:r>
      <w:r w:rsidR="00144715" w:rsidRPr="00144715">
        <w:rPr>
          <w:rFonts w:ascii="Arial" w:hAnsi="Arial" w:cs="Arial"/>
        </w:rPr>
        <w:t>au détail</w:t>
      </w:r>
      <w:r w:rsidRPr="00144715">
        <w:rPr>
          <w:rFonts w:ascii="Arial" w:hAnsi="Arial" w:cs="Arial"/>
        </w:rPr>
        <w:t>, l’effondrement s’avère plus prononcé encore, à -</w:t>
      </w:r>
      <w:r w:rsidR="000A4FB8">
        <w:rPr>
          <w:rFonts w:ascii="Arial" w:hAnsi="Arial" w:cs="Arial"/>
        </w:rPr>
        <w:t> </w:t>
      </w:r>
      <w:r w:rsidRPr="00144715">
        <w:rPr>
          <w:rFonts w:ascii="Arial" w:hAnsi="Arial" w:cs="Arial"/>
        </w:rPr>
        <w:t>37,5</w:t>
      </w:r>
      <w:r w:rsidR="00144715" w:rsidRPr="00144715">
        <w:rPr>
          <w:rFonts w:ascii="Arial" w:hAnsi="Arial" w:cs="Arial"/>
        </w:rPr>
        <w:t> </w:t>
      </w:r>
      <w:r w:rsidRPr="00144715">
        <w:rPr>
          <w:rFonts w:ascii="Arial" w:hAnsi="Arial" w:cs="Arial"/>
        </w:rPr>
        <w:t>% en 2023 pour s’établir à 64</w:t>
      </w:r>
      <w:r w:rsidR="00144715" w:rsidRPr="00144715">
        <w:rPr>
          <w:rFonts w:ascii="Arial" w:hAnsi="Arial" w:cs="Arial"/>
        </w:rPr>
        <w:t> </w:t>
      </w:r>
      <w:r w:rsidRPr="00144715">
        <w:rPr>
          <w:rFonts w:ascii="Arial" w:hAnsi="Arial" w:cs="Arial"/>
        </w:rPr>
        <w:t>500 unités, proche du niveau observé en 1995 (60</w:t>
      </w:r>
      <w:r w:rsidR="00144715" w:rsidRPr="00144715">
        <w:rPr>
          <w:rFonts w:ascii="Arial" w:hAnsi="Arial" w:cs="Arial"/>
        </w:rPr>
        <w:t> </w:t>
      </w:r>
      <w:r w:rsidRPr="00144715">
        <w:rPr>
          <w:rFonts w:ascii="Arial" w:hAnsi="Arial" w:cs="Arial"/>
        </w:rPr>
        <w:t>800, cf. graphique 1</w:t>
      </w:r>
      <w:r w:rsidR="000F1C9B">
        <w:rPr>
          <w:rFonts w:ascii="Arial" w:hAnsi="Arial" w:cs="Arial"/>
        </w:rPr>
        <w:t>0</w:t>
      </w:r>
      <w:r w:rsidRPr="00144715">
        <w:rPr>
          <w:rFonts w:ascii="Arial" w:hAnsi="Arial" w:cs="Arial"/>
        </w:rPr>
        <w:t>), et très en-deçà de la moyenne de long terme (98</w:t>
      </w:r>
      <w:r w:rsidR="00144715" w:rsidRPr="00144715">
        <w:rPr>
          <w:rFonts w:ascii="Arial" w:hAnsi="Arial" w:cs="Arial"/>
        </w:rPr>
        <w:t> </w:t>
      </w:r>
      <w:r w:rsidRPr="00144715">
        <w:rPr>
          <w:rFonts w:ascii="Arial" w:hAnsi="Arial" w:cs="Arial"/>
        </w:rPr>
        <w:t>300).</w:t>
      </w:r>
    </w:p>
    <w:p w14:paraId="04C89BBA" w14:textId="4569F9CA" w:rsidR="003D16CC" w:rsidRPr="00ED7379" w:rsidRDefault="003D16CC" w:rsidP="003D16CC">
      <w:pPr>
        <w:spacing w:after="0" w:line="360" w:lineRule="auto"/>
        <w:jc w:val="center"/>
        <w:rPr>
          <w:rFonts w:ascii="Arial" w:hAnsi="Arial" w:cs="Arial"/>
        </w:rPr>
      </w:pPr>
      <w:r>
        <w:rPr>
          <w:rFonts w:ascii="Arial" w:hAnsi="Arial" w:cs="Arial"/>
        </w:rPr>
        <w:t>Tableau 2</w:t>
      </w:r>
      <w:r w:rsidRPr="00DE26A0">
        <w:rPr>
          <w:rFonts w:ascii="Arial" w:hAnsi="Arial" w:cs="Arial"/>
        </w:rPr>
        <w:t xml:space="preserve"> – </w:t>
      </w:r>
      <w:r w:rsidRPr="00DE26A0">
        <w:rPr>
          <w:rFonts w:ascii="Arial" w:hAnsi="Arial" w:cs="Arial"/>
          <w:b/>
        </w:rPr>
        <w:t xml:space="preserve">Évolutions </w:t>
      </w:r>
      <w:r w:rsidRPr="00DE26A0">
        <w:rPr>
          <w:rFonts w:ascii="Arial" w:hAnsi="Arial" w:cs="Arial"/>
        </w:rPr>
        <w:t>(en</w:t>
      </w:r>
      <w:r>
        <w:rPr>
          <w:rFonts w:ascii="Arial" w:hAnsi="Arial" w:cs="Arial"/>
        </w:rPr>
        <w:t> %</w:t>
      </w:r>
      <w:r w:rsidRPr="00DE26A0">
        <w:rPr>
          <w:rFonts w:ascii="Arial" w:hAnsi="Arial" w:cs="Arial"/>
        </w:rPr>
        <w:t>, en glissement annuel)</w:t>
      </w:r>
      <w:r w:rsidRPr="00DE26A0">
        <w:rPr>
          <w:rFonts w:ascii="Arial" w:hAnsi="Arial" w:cs="Arial"/>
          <w:b/>
        </w:rPr>
        <w:t xml:space="preserve"> de la promotion immobilière</w:t>
      </w:r>
      <w:r>
        <w:rPr>
          <w:rFonts w:ascii="Arial" w:hAnsi="Arial" w:cs="Arial"/>
          <w:b/>
        </w:rPr>
        <w:t xml:space="preserve"> </w:t>
      </w:r>
      <w:r w:rsidRPr="00ED7379">
        <w:rPr>
          <w:rFonts w:ascii="Arial" w:hAnsi="Arial" w:cs="Arial"/>
        </w:rPr>
        <w:t>(hors construction sur existant)</w:t>
      </w:r>
    </w:p>
    <w:tbl>
      <w:tblPr>
        <w:tblStyle w:val="Grilledutableau"/>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4275"/>
        <w:gridCol w:w="1191"/>
        <w:gridCol w:w="1192"/>
        <w:gridCol w:w="1192"/>
        <w:gridCol w:w="1192"/>
      </w:tblGrid>
      <w:tr w:rsidR="003D16CC" w:rsidRPr="00DE26A0" w14:paraId="0ADFF105" w14:textId="77777777" w:rsidTr="00936E36">
        <w:tc>
          <w:tcPr>
            <w:tcW w:w="4275" w:type="dxa"/>
            <w:tcBorders>
              <w:top w:val="single" w:sz="12" w:space="0" w:color="000000"/>
            </w:tcBorders>
          </w:tcPr>
          <w:p w14:paraId="1F0AE2CC" w14:textId="77777777" w:rsidR="003D16CC" w:rsidRPr="009E27FD" w:rsidRDefault="003D16CC" w:rsidP="00936E36">
            <w:pPr>
              <w:jc w:val="both"/>
              <w:rPr>
                <w:rFonts w:ascii="Arial" w:hAnsi="Arial" w:cs="Arial"/>
              </w:rPr>
            </w:pPr>
          </w:p>
        </w:tc>
        <w:tc>
          <w:tcPr>
            <w:tcW w:w="1191" w:type="dxa"/>
            <w:tcBorders>
              <w:top w:val="single" w:sz="12" w:space="0" w:color="000000"/>
              <w:right w:val="dashSmallGap" w:sz="4" w:space="0" w:color="000000"/>
            </w:tcBorders>
          </w:tcPr>
          <w:p w14:paraId="7FAB76BC" w14:textId="77777777" w:rsidR="003D16CC" w:rsidRPr="009E27FD" w:rsidRDefault="003D16CC" w:rsidP="00936E36">
            <w:pPr>
              <w:jc w:val="center"/>
              <w:rPr>
                <w:rFonts w:ascii="Arial" w:hAnsi="Arial" w:cs="Arial"/>
              </w:rPr>
            </w:pPr>
            <w:r w:rsidRPr="009E27FD">
              <w:rPr>
                <w:rFonts w:ascii="Arial" w:hAnsi="Arial" w:cs="Arial"/>
              </w:rPr>
              <w:t>Ventes</w:t>
            </w:r>
          </w:p>
        </w:tc>
        <w:tc>
          <w:tcPr>
            <w:tcW w:w="1192" w:type="dxa"/>
            <w:tcBorders>
              <w:top w:val="single" w:sz="12" w:space="0" w:color="000000"/>
              <w:left w:val="dashSmallGap" w:sz="4" w:space="0" w:color="000000"/>
              <w:right w:val="dashSmallGap" w:sz="4" w:space="0" w:color="000000"/>
            </w:tcBorders>
          </w:tcPr>
          <w:p w14:paraId="6FF70733" w14:textId="77777777" w:rsidR="003D16CC" w:rsidRPr="009E27FD" w:rsidRDefault="003D16CC" w:rsidP="00936E36">
            <w:pPr>
              <w:jc w:val="center"/>
              <w:rPr>
                <w:rFonts w:ascii="Arial" w:hAnsi="Arial" w:cs="Arial"/>
                <w:i/>
              </w:rPr>
            </w:pPr>
            <w:proofErr w:type="gramStart"/>
            <w:r w:rsidRPr="009E27FD">
              <w:rPr>
                <w:rFonts w:ascii="Arial" w:hAnsi="Arial" w:cs="Arial"/>
                <w:i/>
              </w:rPr>
              <w:t>dont</w:t>
            </w:r>
            <w:proofErr w:type="gramEnd"/>
            <w:r w:rsidRPr="009E27FD">
              <w:rPr>
                <w:rFonts w:ascii="Arial" w:hAnsi="Arial" w:cs="Arial"/>
                <w:i/>
              </w:rPr>
              <w:t xml:space="preserve"> au détail</w:t>
            </w:r>
          </w:p>
        </w:tc>
        <w:tc>
          <w:tcPr>
            <w:tcW w:w="1192" w:type="dxa"/>
            <w:tcBorders>
              <w:top w:val="single" w:sz="12" w:space="0" w:color="000000"/>
              <w:left w:val="dashSmallGap" w:sz="4" w:space="0" w:color="000000"/>
            </w:tcBorders>
          </w:tcPr>
          <w:p w14:paraId="72DC27EF" w14:textId="77777777" w:rsidR="003D16CC" w:rsidRPr="009E27FD" w:rsidRDefault="003D16CC" w:rsidP="00936E36">
            <w:pPr>
              <w:jc w:val="center"/>
              <w:rPr>
                <w:rFonts w:ascii="Arial" w:hAnsi="Arial" w:cs="Arial"/>
                <w:i/>
              </w:rPr>
            </w:pPr>
            <w:r w:rsidRPr="009E27FD">
              <w:rPr>
                <w:rFonts w:ascii="Arial" w:hAnsi="Arial" w:cs="Arial"/>
                <w:i/>
              </w:rPr>
              <w:t>dont en bloc</w:t>
            </w:r>
          </w:p>
        </w:tc>
        <w:tc>
          <w:tcPr>
            <w:tcW w:w="1192" w:type="dxa"/>
            <w:tcBorders>
              <w:top w:val="single" w:sz="12" w:space="0" w:color="000000"/>
            </w:tcBorders>
          </w:tcPr>
          <w:p w14:paraId="02F4F822" w14:textId="77777777" w:rsidR="003D16CC" w:rsidRPr="009E27FD" w:rsidRDefault="003D16CC" w:rsidP="00936E36">
            <w:pPr>
              <w:jc w:val="center"/>
              <w:rPr>
                <w:rFonts w:ascii="Arial" w:hAnsi="Arial" w:cs="Arial"/>
              </w:rPr>
            </w:pPr>
            <w:r w:rsidRPr="009E27FD">
              <w:rPr>
                <w:rFonts w:ascii="Arial" w:hAnsi="Arial" w:cs="Arial"/>
              </w:rPr>
              <w:t>Mises en vente</w:t>
            </w:r>
            <w:r>
              <w:rPr>
                <w:rStyle w:val="Appelnotedebasdep"/>
                <w:rFonts w:ascii="Arial" w:hAnsi="Arial" w:cs="Arial"/>
              </w:rPr>
              <w:footnoteReference w:id="4"/>
            </w:r>
          </w:p>
        </w:tc>
      </w:tr>
      <w:tr w:rsidR="003D16CC" w:rsidRPr="00DE26A0" w14:paraId="32092332" w14:textId="77777777" w:rsidTr="00936E36">
        <w:tc>
          <w:tcPr>
            <w:tcW w:w="4275" w:type="dxa"/>
            <w:tcBorders>
              <w:top w:val="single" w:sz="2" w:space="0" w:color="000000"/>
              <w:bottom w:val="dashSmallGap" w:sz="4" w:space="0" w:color="000000"/>
            </w:tcBorders>
          </w:tcPr>
          <w:p w14:paraId="4C2DF6EE" w14:textId="77777777" w:rsidR="003D16CC" w:rsidRPr="00F756E0" w:rsidRDefault="003D16CC" w:rsidP="00936E36">
            <w:pPr>
              <w:jc w:val="both"/>
              <w:rPr>
                <w:rFonts w:ascii="Arial" w:hAnsi="Arial" w:cs="Arial"/>
              </w:rPr>
            </w:pPr>
            <w:r w:rsidRPr="00F756E0">
              <w:rPr>
                <w:rFonts w:ascii="Arial" w:hAnsi="Arial" w:cs="Arial"/>
              </w:rPr>
              <w:t>Sur un trimestre (2023 T</w:t>
            </w:r>
            <w:r>
              <w:rPr>
                <w:rFonts w:ascii="Arial" w:hAnsi="Arial" w:cs="Arial"/>
              </w:rPr>
              <w:t>4</w:t>
            </w:r>
            <w:r w:rsidRPr="00F756E0">
              <w:rPr>
                <w:rFonts w:ascii="Arial" w:hAnsi="Arial" w:cs="Arial"/>
              </w:rPr>
              <w:t xml:space="preserve"> / 2022 T</w:t>
            </w:r>
            <w:r>
              <w:rPr>
                <w:rFonts w:ascii="Arial" w:hAnsi="Arial" w:cs="Arial"/>
              </w:rPr>
              <w:t>4</w:t>
            </w:r>
            <w:r w:rsidRPr="00F756E0">
              <w:rPr>
                <w:rFonts w:ascii="Arial" w:hAnsi="Arial" w:cs="Arial"/>
              </w:rPr>
              <w:t>)</w:t>
            </w:r>
          </w:p>
          <w:p w14:paraId="1A66D614" w14:textId="77777777" w:rsidR="003D16CC" w:rsidRPr="00F756E0" w:rsidRDefault="003D16CC" w:rsidP="00936E36">
            <w:pPr>
              <w:jc w:val="both"/>
              <w:rPr>
                <w:rFonts w:ascii="Arial" w:hAnsi="Arial" w:cs="Arial"/>
              </w:rPr>
            </w:pPr>
          </w:p>
        </w:tc>
        <w:tc>
          <w:tcPr>
            <w:tcW w:w="1191" w:type="dxa"/>
            <w:tcBorders>
              <w:top w:val="single" w:sz="2" w:space="0" w:color="000000"/>
              <w:bottom w:val="dashSmallGap" w:sz="4" w:space="0" w:color="000000"/>
              <w:right w:val="dashSmallGap" w:sz="4" w:space="0" w:color="000000"/>
            </w:tcBorders>
          </w:tcPr>
          <w:p w14:paraId="762F8EB6" w14:textId="65C1DFC5" w:rsidR="003D16CC" w:rsidRPr="00F756E0" w:rsidRDefault="00A42469" w:rsidP="00936E36">
            <w:pPr>
              <w:jc w:val="center"/>
              <w:rPr>
                <w:rFonts w:ascii="Arial" w:hAnsi="Arial" w:cs="Arial"/>
              </w:rPr>
            </w:pPr>
            <w:r>
              <w:rPr>
                <w:rFonts w:ascii="Arial" w:hAnsi="Arial" w:cs="Arial"/>
              </w:rPr>
              <w:t>-10,4 %</w:t>
            </w:r>
          </w:p>
        </w:tc>
        <w:tc>
          <w:tcPr>
            <w:tcW w:w="1192" w:type="dxa"/>
            <w:tcBorders>
              <w:top w:val="single" w:sz="2" w:space="0" w:color="000000"/>
              <w:left w:val="dashSmallGap" w:sz="4" w:space="0" w:color="000000"/>
              <w:bottom w:val="dashSmallGap" w:sz="4" w:space="0" w:color="000000"/>
              <w:right w:val="dashSmallGap" w:sz="4" w:space="0" w:color="000000"/>
            </w:tcBorders>
          </w:tcPr>
          <w:p w14:paraId="1982C6F8" w14:textId="4A309AE8" w:rsidR="003D16CC" w:rsidRPr="00F756E0" w:rsidRDefault="00A42469" w:rsidP="00936E36">
            <w:pPr>
              <w:jc w:val="center"/>
              <w:rPr>
                <w:rFonts w:ascii="Arial" w:hAnsi="Arial" w:cs="Arial"/>
                <w:i/>
              </w:rPr>
            </w:pPr>
            <w:r>
              <w:rPr>
                <w:rFonts w:ascii="Arial" w:hAnsi="Arial" w:cs="Arial"/>
                <w:i/>
              </w:rPr>
              <w:t>-33,5 %</w:t>
            </w:r>
          </w:p>
        </w:tc>
        <w:tc>
          <w:tcPr>
            <w:tcW w:w="1192" w:type="dxa"/>
            <w:tcBorders>
              <w:top w:val="single" w:sz="2" w:space="0" w:color="000000"/>
              <w:left w:val="dashSmallGap" w:sz="4" w:space="0" w:color="000000"/>
              <w:bottom w:val="dashSmallGap" w:sz="4" w:space="0" w:color="000000"/>
            </w:tcBorders>
          </w:tcPr>
          <w:p w14:paraId="4917CC78" w14:textId="2431640B" w:rsidR="003D16CC" w:rsidRPr="00F756E0" w:rsidRDefault="00A42469" w:rsidP="00936E36">
            <w:pPr>
              <w:jc w:val="center"/>
              <w:rPr>
                <w:rFonts w:ascii="Arial" w:hAnsi="Arial" w:cs="Arial"/>
                <w:i/>
              </w:rPr>
            </w:pPr>
            <w:r>
              <w:rPr>
                <w:rFonts w:ascii="Arial" w:hAnsi="Arial" w:cs="Arial"/>
                <w:i/>
              </w:rPr>
              <w:t>+13,2 %</w:t>
            </w:r>
          </w:p>
        </w:tc>
        <w:tc>
          <w:tcPr>
            <w:tcW w:w="1192" w:type="dxa"/>
            <w:tcBorders>
              <w:top w:val="single" w:sz="2" w:space="0" w:color="000000"/>
              <w:bottom w:val="dashSmallGap" w:sz="4" w:space="0" w:color="000000"/>
            </w:tcBorders>
          </w:tcPr>
          <w:p w14:paraId="310BF029" w14:textId="16EC06B4" w:rsidR="003D16CC" w:rsidRPr="00F756E0" w:rsidRDefault="00122C44" w:rsidP="00936E36">
            <w:pPr>
              <w:jc w:val="center"/>
              <w:rPr>
                <w:rFonts w:ascii="Arial" w:hAnsi="Arial" w:cs="Arial"/>
              </w:rPr>
            </w:pPr>
            <w:r>
              <w:rPr>
                <w:rFonts w:ascii="Arial" w:hAnsi="Arial" w:cs="Arial"/>
              </w:rPr>
              <w:t>-44,1 %</w:t>
            </w:r>
          </w:p>
        </w:tc>
      </w:tr>
      <w:tr w:rsidR="003D16CC" w:rsidRPr="00DE26A0" w14:paraId="11E1C0D2" w14:textId="77777777" w:rsidTr="00936E36">
        <w:tc>
          <w:tcPr>
            <w:tcW w:w="4275" w:type="dxa"/>
            <w:tcBorders>
              <w:top w:val="dashSmallGap" w:sz="4" w:space="0" w:color="000000"/>
              <w:bottom w:val="single" w:sz="12" w:space="0" w:color="000000"/>
            </w:tcBorders>
          </w:tcPr>
          <w:p w14:paraId="239807E3" w14:textId="77777777" w:rsidR="003D16CC" w:rsidRPr="00F756E0" w:rsidRDefault="003D16CC" w:rsidP="00936E36">
            <w:pPr>
              <w:jc w:val="both"/>
              <w:rPr>
                <w:rFonts w:ascii="Arial" w:hAnsi="Arial" w:cs="Arial"/>
              </w:rPr>
            </w:pPr>
            <w:r w:rsidRPr="00F756E0">
              <w:rPr>
                <w:rFonts w:ascii="Arial" w:hAnsi="Arial" w:cs="Arial"/>
              </w:rPr>
              <w:t>Sur deux trimestres (2023 T</w:t>
            </w:r>
            <w:r>
              <w:rPr>
                <w:rFonts w:ascii="Arial" w:hAnsi="Arial" w:cs="Arial"/>
              </w:rPr>
              <w:t>3</w:t>
            </w:r>
            <w:r w:rsidRPr="00F756E0">
              <w:rPr>
                <w:rFonts w:ascii="Arial" w:hAnsi="Arial" w:cs="Arial"/>
              </w:rPr>
              <w:t xml:space="preserve"> → 2023 T</w:t>
            </w:r>
            <w:r>
              <w:rPr>
                <w:rFonts w:ascii="Arial" w:hAnsi="Arial" w:cs="Arial"/>
              </w:rPr>
              <w:t>4</w:t>
            </w:r>
            <w:r w:rsidRPr="00F756E0">
              <w:rPr>
                <w:rFonts w:ascii="Arial" w:hAnsi="Arial" w:cs="Arial"/>
              </w:rPr>
              <w:t xml:space="preserve"> / 2022 T</w:t>
            </w:r>
            <w:r>
              <w:rPr>
                <w:rFonts w:ascii="Arial" w:hAnsi="Arial" w:cs="Arial"/>
              </w:rPr>
              <w:t>3</w:t>
            </w:r>
            <w:r w:rsidRPr="00F756E0">
              <w:rPr>
                <w:rFonts w:ascii="Arial" w:hAnsi="Arial" w:cs="Arial"/>
              </w:rPr>
              <w:t xml:space="preserve"> → 2022 T</w:t>
            </w:r>
            <w:r>
              <w:rPr>
                <w:rFonts w:ascii="Arial" w:hAnsi="Arial" w:cs="Arial"/>
              </w:rPr>
              <w:t>4</w:t>
            </w:r>
            <w:r w:rsidRPr="00F756E0">
              <w:rPr>
                <w:rFonts w:ascii="Arial" w:hAnsi="Arial" w:cs="Arial"/>
              </w:rPr>
              <w:t>)</w:t>
            </w:r>
          </w:p>
        </w:tc>
        <w:tc>
          <w:tcPr>
            <w:tcW w:w="1191" w:type="dxa"/>
            <w:tcBorders>
              <w:top w:val="dashSmallGap" w:sz="4" w:space="0" w:color="000000"/>
              <w:bottom w:val="single" w:sz="12" w:space="0" w:color="000000"/>
              <w:right w:val="dashSmallGap" w:sz="4" w:space="0" w:color="000000"/>
            </w:tcBorders>
          </w:tcPr>
          <w:p w14:paraId="1A735753" w14:textId="7316CFF5" w:rsidR="003D16CC" w:rsidRPr="00F756E0" w:rsidRDefault="00A42469" w:rsidP="00936E36">
            <w:pPr>
              <w:jc w:val="center"/>
              <w:rPr>
                <w:rFonts w:ascii="Arial" w:hAnsi="Arial" w:cs="Arial"/>
              </w:rPr>
            </w:pPr>
            <w:r>
              <w:rPr>
                <w:rFonts w:ascii="Arial" w:hAnsi="Arial" w:cs="Arial"/>
              </w:rPr>
              <w:t>-14,1 %</w:t>
            </w:r>
          </w:p>
        </w:tc>
        <w:tc>
          <w:tcPr>
            <w:tcW w:w="1192" w:type="dxa"/>
            <w:tcBorders>
              <w:top w:val="dashSmallGap" w:sz="4" w:space="0" w:color="000000"/>
              <w:left w:val="dashSmallGap" w:sz="4" w:space="0" w:color="000000"/>
              <w:bottom w:val="single" w:sz="12" w:space="0" w:color="000000"/>
              <w:right w:val="dashSmallGap" w:sz="4" w:space="0" w:color="000000"/>
            </w:tcBorders>
          </w:tcPr>
          <w:p w14:paraId="55E9C60C" w14:textId="40CD9216" w:rsidR="003D16CC" w:rsidRPr="00F756E0" w:rsidRDefault="00A42469" w:rsidP="00936E36">
            <w:pPr>
              <w:jc w:val="center"/>
              <w:rPr>
                <w:rFonts w:ascii="Arial" w:hAnsi="Arial" w:cs="Arial"/>
                <w:i/>
              </w:rPr>
            </w:pPr>
            <w:r>
              <w:rPr>
                <w:rFonts w:ascii="Arial" w:hAnsi="Arial" w:cs="Arial"/>
                <w:i/>
              </w:rPr>
              <w:t>-36,1 %</w:t>
            </w:r>
          </w:p>
        </w:tc>
        <w:tc>
          <w:tcPr>
            <w:tcW w:w="1192" w:type="dxa"/>
            <w:tcBorders>
              <w:top w:val="dashSmallGap" w:sz="4" w:space="0" w:color="000000"/>
              <w:left w:val="dashSmallGap" w:sz="4" w:space="0" w:color="000000"/>
              <w:bottom w:val="single" w:sz="12" w:space="0" w:color="000000"/>
            </w:tcBorders>
          </w:tcPr>
          <w:p w14:paraId="045F8B5C" w14:textId="35647450" w:rsidR="003D16CC" w:rsidRPr="00F756E0" w:rsidRDefault="00A42469" w:rsidP="00936E36">
            <w:pPr>
              <w:jc w:val="center"/>
              <w:rPr>
                <w:rFonts w:ascii="Arial" w:hAnsi="Arial" w:cs="Arial"/>
                <w:i/>
              </w:rPr>
            </w:pPr>
            <w:r>
              <w:rPr>
                <w:rFonts w:ascii="Arial" w:hAnsi="Arial" w:cs="Arial"/>
                <w:i/>
              </w:rPr>
              <w:t>+17,3 %</w:t>
            </w:r>
          </w:p>
        </w:tc>
        <w:tc>
          <w:tcPr>
            <w:tcW w:w="1192" w:type="dxa"/>
            <w:tcBorders>
              <w:top w:val="dashSmallGap" w:sz="4" w:space="0" w:color="000000"/>
              <w:bottom w:val="single" w:sz="12" w:space="0" w:color="000000"/>
            </w:tcBorders>
          </w:tcPr>
          <w:p w14:paraId="60720975" w14:textId="590704FA" w:rsidR="003D16CC" w:rsidRPr="00F756E0" w:rsidRDefault="00122C44" w:rsidP="00936E36">
            <w:pPr>
              <w:jc w:val="center"/>
              <w:rPr>
                <w:rFonts w:ascii="Arial" w:hAnsi="Arial" w:cs="Arial"/>
              </w:rPr>
            </w:pPr>
            <w:r>
              <w:rPr>
                <w:rFonts w:ascii="Arial" w:hAnsi="Arial" w:cs="Arial"/>
              </w:rPr>
              <w:t>-40,3 %</w:t>
            </w:r>
          </w:p>
        </w:tc>
      </w:tr>
      <w:tr w:rsidR="003D16CC" w:rsidRPr="00DE26A0" w14:paraId="4CD2E091" w14:textId="77777777" w:rsidTr="00936E36">
        <w:tc>
          <w:tcPr>
            <w:tcW w:w="4275" w:type="dxa"/>
            <w:tcBorders>
              <w:top w:val="dashSmallGap" w:sz="4" w:space="0" w:color="000000"/>
              <w:bottom w:val="single" w:sz="12" w:space="0" w:color="000000"/>
            </w:tcBorders>
          </w:tcPr>
          <w:p w14:paraId="1CAF00AC" w14:textId="77777777" w:rsidR="003D16CC" w:rsidRPr="009514AE" w:rsidRDefault="003D16CC" w:rsidP="00936E36">
            <w:pPr>
              <w:jc w:val="both"/>
              <w:rPr>
                <w:rFonts w:ascii="Arial" w:hAnsi="Arial" w:cs="Arial"/>
              </w:rPr>
            </w:pPr>
            <w:r w:rsidRPr="009514AE">
              <w:rPr>
                <w:rFonts w:ascii="Arial" w:hAnsi="Arial" w:cs="Arial"/>
              </w:rPr>
              <w:t>Sur trois trimestres (2023 T</w:t>
            </w:r>
            <w:r>
              <w:rPr>
                <w:rFonts w:ascii="Arial" w:hAnsi="Arial" w:cs="Arial"/>
              </w:rPr>
              <w:t>2</w:t>
            </w:r>
            <w:r w:rsidRPr="009514AE">
              <w:rPr>
                <w:rFonts w:ascii="Arial" w:hAnsi="Arial" w:cs="Arial"/>
              </w:rPr>
              <w:t xml:space="preserve"> → 2023 T</w:t>
            </w:r>
            <w:r>
              <w:rPr>
                <w:rFonts w:ascii="Arial" w:hAnsi="Arial" w:cs="Arial"/>
              </w:rPr>
              <w:t>4</w:t>
            </w:r>
            <w:r w:rsidRPr="009514AE">
              <w:rPr>
                <w:rFonts w:ascii="Arial" w:hAnsi="Arial" w:cs="Arial"/>
              </w:rPr>
              <w:t xml:space="preserve"> / 2022 T</w:t>
            </w:r>
            <w:r>
              <w:rPr>
                <w:rFonts w:ascii="Arial" w:hAnsi="Arial" w:cs="Arial"/>
              </w:rPr>
              <w:t>2</w:t>
            </w:r>
            <w:r w:rsidRPr="009514AE">
              <w:rPr>
                <w:rFonts w:ascii="Arial" w:hAnsi="Arial" w:cs="Arial"/>
              </w:rPr>
              <w:t xml:space="preserve"> → 2022 T</w:t>
            </w:r>
            <w:r>
              <w:rPr>
                <w:rFonts w:ascii="Arial" w:hAnsi="Arial" w:cs="Arial"/>
              </w:rPr>
              <w:t>4</w:t>
            </w:r>
            <w:r w:rsidRPr="009514AE">
              <w:rPr>
                <w:rFonts w:ascii="Arial" w:hAnsi="Arial" w:cs="Arial"/>
              </w:rPr>
              <w:t>)</w:t>
            </w:r>
          </w:p>
        </w:tc>
        <w:tc>
          <w:tcPr>
            <w:tcW w:w="1191" w:type="dxa"/>
            <w:tcBorders>
              <w:top w:val="dashSmallGap" w:sz="4" w:space="0" w:color="000000"/>
              <w:bottom w:val="single" w:sz="12" w:space="0" w:color="000000"/>
              <w:right w:val="dashSmallGap" w:sz="4" w:space="0" w:color="000000"/>
            </w:tcBorders>
          </w:tcPr>
          <w:p w14:paraId="00B98BCC" w14:textId="0925ADA3" w:rsidR="003D16CC" w:rsidRPr="009514AE" w:rsidRDefault="00A42469" w:rsidP="00936E36">
            <w:pPr>
              <w:jc w:val="center"/>
              <w:rPr>
                <w:rFonts w:ascii="Arial" w:hAnsi="Arial" w:cs="Arial"/>
              </w:rPr>
            </w:pPr>
            <w:r>
              <w:rPr>
                <w:rFonts w:ascii="Arial" w:hAnsi="Arial" w:cs="Arial"/>
              </w:rPr>
              <w:t>-19,1 %</w:t>
            </w:r>
          </w:p>
        </w:tc>
        <w:tc>
          <w:tcPr>
            <w:tcW w:w="1192" w:type="dxa"/>
            <w:tcBorders>
              <w:top w:val="dashSmallGap" w:sz="4" w:space="0" w:color="000000"/>
              <w:left w:val="dashSmallGap" w:sz="4" w:space="0" w:color="000000"/>
              <w:bottom w:val="single" w:sz="12" w:space="0" w:color="000000"/>
              <w:right w:val="dashSmallGap" w:sz="4" w:space="0" w:color="000000"/>
            </w:tcBorders>
          </w:tcPr>
          <w:p w14:paraId="6934C542" w14:textId="219D6375" w:rsidR="003D16CC" w:rsidRPr="009514AE" w:rsidRDefault="00A42469" w:rsidP="00936E36">
            <w:pPr>
              <w:jc w:val="center"/>
              <w:rPr>
                <w:rFonts w:ascii="Arial" w:hAnsi="Arial" w:cs="Arial"/>
                <w:i/>
              </w:rPr>
            </w:pPr>
            <w:r>
              <w:rPr>
                <w:rFonts w:ascii="Arial" w:hAnsi="Arial" w:cs="Arial"/>
                <w:i/>
              </w:rPr>
              <w:t>-36,5 %</w:t>
            </w:r>
          </w:p>
        </w:tc>
        <w:tc>
          <w:tcPr>
            <w:tcW w:w="1192" w:type="dxa"/>
            <w:tcBorders>
              <w:top w:val="dashSmallGap" w:sz="4" w:space="0" w:color="000000"/>
              <w:left w:val="dashSmallGap" w:sz="4" w:space="0" w:color="000000"/>
              <w:bottom w:val="single" w:sz="12" w:space="0" w:color="000000"/>
            </w:tcBorders>
          </w:tcPr>
          <w:p w14:paraId="28805F01" w14:textId="0AC0C511" w:rsidR="003D16CC" w:rsidRPr="009514AE" w:rsidRDefault="00A42469" w:rsidP="00936E36">
            <w:pPr>
              <w:jc w:val="center"/>
              <w:rPr>
                <w:rFonts w:ascii="Arial" w:hAnsi="Arial" w:cs="Arial"/>
                <w:i/>
              </w:rPr>
            </w:pPr>
            <w:r>
              <w:rPr>
                <w:rFonts w:ascii="Arial" w:hAnsi="Arial" w:cs="Arial"/>
                <w:i/>
              </w:rPr>
              <w:t>+13,8 %</w:t>
            </w:r>
          </w:p>
        </w:tc>
        <w:tc>
          <w:tcPr>
            <w:tcW w:w="1192" w:type="dxa"/>
            <w:tcBorders>
              <w:top w:val="dashSmallGap" w:sz="4" w:space="0" w:color="000000"/>
              <w:bottom w:val="single" w:sz="12" w:space="0" w:color="000000"/>
            </w:tcBorders>
          </w:tcPr>
          <w:p w14:paraId="5FC96920" w14:textId="42EAB052" w:rsidR="003D16CC" w:rsidRPr="009514AE" w:rsidRDefault="00122C44" w:rsidP="00936E36">
            <w:pPr>
              <w:jc w:val="center"/>
              <w:rPr>
                <w:rFonts w:ascii="Arial" w:hAnsi="Arial" w:cs="Arial"/>
              </w:rPr>
            </w:pPr>
            <w:r>
              <w:rPr>
                <w:rFonts w:ascii="Arial" w:hAnsi="Arial" w:cs="Arial"/>
              </w:rPr>
              <w:t>-35,1 %</w:t>
            </w:r>
          </w:p>
        </w:tc>
      </w:tr>
      <w:tr w:rsidR="003D16CC" w:rsidRPr="00DE26A0" w14:paraId="49A5EB82" w14:textId="77777777" w:rsidTr="00936E36">
        <w:tc>
          <w:tcPr>
            <w:tcW w:w="4275" w:type="dxa"/>
            <w:tcBorders>
              <w:top w:val="dashSmallGap" w:sz="4" w:space="0" w:color="000000"/>
              <w:bottom w:val="single" w:sz="12" w:space="0" w:color="000000"/>
            </w:tcBorders>
          </w:tcPr>
          <w:p w14:paraId="50FE02C0" w14:textId="77777777" w:rsidR="003D16CC" w:rsidRPr="009514AE" w:rsidRDefault="003D16CC" w:rsidP="00936E36">
            <w:pPr>
              <w:jc w:val="both"/>
              <w:rPr>
                <w:rFonts w:ascii="Arial" w:hAnsi="Arial" w:cs="Arial"/>
                <w:b/>
                <w:bCs/>
              </w:rPr>
            </w:pPr>
            <w:r w:rsidRPr="009514AE">
              <w:rPr>
                <w:rFonts w:ascii="Arial" w:hAnsi="Arial" w:cs="Arial"/>
                <w:b/>
                <w:bCs/>
              </w:rPr>
              <w:t>Sur quatre trimestres (202</w:t>
            </w:r>
            <w:r>
              <w:rPr>
                <w:rFonts w:ascii="Arial" w:hAnsi="Arial" w:cs="Arial"/>
                <w:b/>
                <w:bCs/>
              </w:rPr>
              <w:t>3</w:t>
            </w:r>
            <w:r w:rsidRPr="009514AE">
              <w:rPr>
                <w:rFonts w:ascii="Arial" w:hAnsi="Arial" w:cs="Arial"/>
                <w:b/>
                <w:bCs/>
              </w:rPr>
              <w:t xml:space="preserve"> T</w:t>
            </w:r>
            <w:r>
              <w:rPr>
                <w:rFonts w:ascii="Arial" w:hAnsi="Arial" w:cs="Arial"/>
                <w:b/>
                <w:bCs/>
              </w:rPr>
              <w:t>1</w:t>
            </w:r>
            <w:r w:rsidRPr="009514AE">
              <w:rPr>
                <w:rFonts w:ascii="Arial" w:hAnsi="Arial" w:cs="Arial"/>
                <w:b/>
                <w:bCs/>
              </w:rPr>
              <w:t xml:space="preserve"> → 2023 T</w:t>
            </w:r>
            <w:r>
              <w:rPr>
                <w:rFonts w:ascii="Arial" w:hAnsi="Arial" w:cs="Arial"/>
                <w:b/>
                <w:bCs/>
              </w:rPr>
              <w:t>4</w:t>
            </w:r>
            <w:r w:rsidRPr="009514AE">
              <w:rPr>
                <w:rFonts w:ascii="Arial" w:hAnsi="Arial" w:cs="Arial"/>
                <w:b/>
                <w:bCs/>
              </w:rPr>
              <w:t xml:space="preserve"> / 202</w:t>
            </w:r>
            <w:r>
              <w:rPr>
                <w:rFonts w:ascii="Arial" w:hAnsi="Arial" w:cs="Arial"/>
                <w:b/>
                <w:bCs/>
              </w:rPr>
              <w:t>2</w:t>
            </w:r>
            <w:r w:rsidRPr="009514AE">
              <w:rPr>
                <w:rFonts w:ascii="Arial" w:hAnsi="Arial" w:cs="Arial"/>
                <w:b/>
                <w:bCs/>
              </w:rPr>
              <w:t xml:space="preserve"> T</w:t>
            </w:r>
            <w:r>
              <w:rPr>
                <w:rFonts w:ascii="Arial" w:hAnsi="Arial" w:cs="Arial"/>
                <w:b/>
                <w:bCs/>
              </w:rPr>
              <w:t>1</w:t>
            </w:r>
            <w:r w:rsidRPr="009514AE">
              <w:rPr>
                <w:rFonts w:ascii="Arial" w:hAnsi="Arial" w:cs="Arial"/>
                <w:b/>
                <w:bCs/>
              </w:rPr>
              <w:t xml:space="preserve"> → 2022 T</w:t>
            </w:r>
            <w:r>
              <w:rPr>
                <w:rFonts w:ascii="Arial" w:hAnsi="Arial" w:cs="Arial"/>
                <w:b/>
                <w:bCs/>
              </w:rPr>
              <w:t>4</w:t>
            </w:r>
            <w:r w:rsidRPr="009514AE">
              <w:rPr>
                <w:rFonts w:ascii="Arial" w:hAnsi="Arial" w:cs="Arial"/>
                <w:b/>
                <w:bCs/>
              </w:rPr>
              <w:t>)</w:t>
            </w:r>
          </w:p>
        </w:tc>
        <w:tc>
          <w:tcPr>
            <w:tcW w:w="1191" w:type="dxa"/>
            <w:tcBorders>
              <w:top w:val="dashSmallGap" w:sz="4" w:space="0" w:color="000000"/>
              <w:bottom w:val="single" w:sz="12" w:space="0" w:color="000000"/>
              <w:right w:val="dashSmallGap" w:sz="4" w:space="0" w:color="000000"/>
            </w:tcBorders>
          </w:tcPr>
          <w:p w14:paraId="3BBC650E" w14:textId="5B1226C2" w:rsidR="003D16CC" w:rsidRPr="009514AE" w:rsidRDefault="00A42469" w:rsidP="00936E36">
            <w:pPr>
              <w:jc w:val="center"/>
              <w:rPr>
                <w:rFonts w:ascii="Arial" w:hAnsi="Arial" w:cs="Arial"/>
                <w:b/>
                <w:bCs/>
              </w:rPr>
            </w:pPr>
            <w:r>
              <w:rPr>
                <w:rFonts w:ascii="Arial" w:hAnsi="Arial" w:cs="Arial"/>
                <w:b/>
                <w:bCs/>
              </w:rPr>
              <w:t>-23,5 %</w:t>
            </w:r>
          </w:p>
        </w:tc>
        <w:tc>
          <w:tcPr>
            <w:tcW w:w="1192" w:type="dxa"/>
            <w:tcBorders>
              <w:top w:val="dashSmallGap" w:sz="4" w:space="0" w:color="000000"/>
              <w:left w:val="dashSmallGap" w:sz="4" w:space="0" w:color="000000"/>
              <w:bottom w:val="single" w:sz="12" w:space="0" w:color="000000"/>
              <w:right w:val="dashSmallGap" w:sz="4" w:space="0" w:color="000000"/>
            </w:tcBorders>
          </w:tcPr>
          <w:p w14:paraId="457D93BE" w14:textId="6EBA8A8A" w:rsidR="003D16CC" w:rsidRPr="009514AE" w:rsidRDefault="00A42469" w:rsidP="00936E36">
            <w:pPr>
              <w:jc w:val="center"/>
              <w:rPr>
                <w:rFonts w:ascii="Arial" w:hAnsi="Arial" w:cs="Arial"/>
                <w:b/>
                <w:bCs/>
                <w:i/>
              </w:rPr>
            </w:pPr>
            <w:r>
              <w:rPr>
                <w:rFonts w:ascii="Arial" w:hAnsi="Arial" w:cs="Arial"/>
                <w:b/>
                <w:bCs/>
                <w:i/>
              </w:rPr>
              <w:t>-37,5 %</w:t>
            </w:r>
          </w:p>
        </w:tc>
        <w:tc>
          <w:tcPr>
            <w:tcW w:w="1192" w:type="dxa"/>
            <w:tcBorders>
              <w:top w:val="dashSmallGap" w:sz="4" w:space="0" w:color="000000"/>
              <w:left w:val="dashSmallGap" w:sz="4" w:space="0" w:color="000000"/>
              <w:bottom w:val="single" w:sz="12" w:space="0" w:color="000000"/>
            </w:tcBorders>
          </w:tcPr>
          <w:p w14:paraId="7D99A8B3" w14:textId="5E6579A6" w:rsidR="003D16CC" w:rsidRPr="009514AE" w:rsidRDefault="00A42469" w:rsidP="00936E36">
            <w:pPr>
              <w:jc w:val="center"/>
              <w:rPr>
                <w:rFonts w:ascii="Arial" w:hAnsi="Arial" w:cs="Arial"/>
                <w:b/>
                <w:bCs/>
                <w:i/>
              </w:rPr>
            </w:pPr>
            <w:r>
              <w:rPr>
                <w:rFonts w:ascii="Arial" w:hAnsi="Arial" w:cs="Arial"/>
                <w:b/>
                <w:bCs/>
                <w:i/>
              </w:rPr>
              <w:t>+8,3 %</w:t>
            </w:r>
          </w:p>
        </w:tc>
        <w:tc>
          <w:tcPr>
            <w:tcW w:w="1192" w:type="dxa"/>
            <w:tcBorders>
              <w:top w:val="dashSmallGap" w:sz="4" w:space="0" w:color="000000"/>
              <w:bottom w:val="single" w:sz="12" w:space="0" w:color="000000"/>
            </w:tcBorders>
          </w:tcPr>
          <w:p w14:paraId="0AE9E294" w14:textId="541C8811" w:rsidR="003D16CC" w:rsidRPr="009514AE" w:rsidRDefault="00122C44" w:rsidP="00936E36">
            <w:pPr>
              <w:jc w:val="center"/>
              <w:rPr>
                <w:rFonts w:ascii="Arial" w:hAnsi="Arial" w:cs="Arial"/>
                <w:b/>
                <w:bCs/>
              </w:rPr>
            </w:pPr>
            <w:r>
              <w:rPr>
                <w:rFonts w:ascii="Arial" w:hAnsi="Arial" w:cs="Arial"/>
                <w:b/>
                <w:bCs/>
              </w:rPr>
              <w:t>-30,8 %</w:t>
            </w:r>
          </w:p>
        </w:tc>
      </w:tr>
    </w:tbl>
    <w:p w14:paraId="7D48A65A" w14:textId="77777777" w:rsidR="003D16CC" w:rsidRPr="00DE26A0" w:rsidRDefault="003D16CC" w:rsidP="003D16CC">
      <w:pPr>
        <w:spacing w:after="120" w:line="360" w:lineRule="auto"/>
        <w:ind w:left="851" w:hanging="851"/>
        <w:jc w:val="center"/>
        <w:rPr>
          <w:rFonts w:ascii="Arial" w:hAnsi="Arial" w:cs="Arial"/>
          <w:i/>
          <w:sz w:val="20"/>
          <w:szCs w:val="20"/>
        </w:rPr>
      </w:pPr>
      <w:r w:rsidRPr="00DE26A0">
        <w:rPr>
          <w:rFonts w:ascii="Arial" w:hAnsi="Arial" w:cs="Arial"/>
          <w:i/>
          <w:sz w:val="20"/>
          <w:szCs w:val="20"/>
        </w:rPr>
        <w:t>Source :</w:t>
      </w:r>
      <w:r>
        <w:rPr>
          <w:rFonts w:ascii="Arial" w:hAnsi="Arial" w:cs="Arial"/>
          <w:i/>
          <w:sz w:val="20"/>
          <w:szCs w:val="20"/>
        </w:rPr>
        <w:t xml:space="preserve"> </w:t>
      </w:r>
      <w:r w:rsidRPr="00233A34">
        <w:rPr>
          <w:rFonts w:ascii="Arial" w:hAnsi="Arial" w:cs="Arial"/>
          <w:i/>
          <w:sz w:val="20"/>
          <w:szCs w:val="20"/>
        </w:rPr>
        <w:t>MT</w:t>
      </w:r>
      <w:r>
        <w:rPr>
          <w:rFonts w:ascii="Arial" w:hAnsi="Arial" w:cs="Arial"/>
          <w:i/>
          <w:sz w:val="20"/>
          <w:szCs w:val="20"/>
        </w:rPr>
        <w:t>ECT/CGDD/</w:t>
      </w:r>
      <w:r w:rsidRPr="00233A34">
        <w:rPr>
          <w:rFonts w:ascii="Arial" w:hAnsi="Arial" w:cs="Arial"/>
          <w:i/>
          <w:sz w:val="20"/>
          <w:szCs w:val="20"/>
        </w:rPr>
        <w:t>SDES</w:t>
      </w:r>
      <w:r w:rsidRPr="00DE26A0">
        <w:rPr>
          <w:rFonts w:ascii="Arial" w:hAnsi="Arial" w:cs="Arial"/>
          <w:i/>
          <w:sz w:val="20"/>
          <w:szCs w:val="20"/>
        </w:rPr>
        <w:t>, E</w:t>
      </w:r>
      <w:r>
        <w:rPr>
          <w:rFonts w:ascii="Arial" w:hAnsi="Arial" w:cs="Arial"/>
          <w:i/>
          <w:sz w:val="20"/>
          <w:szCs w:val="20"/>
        </w:rPr>
        <w:t>nquête sur la commercialisation des logement neufs (E</w:t>
      </w:r>
      <w:r w:rsidRPr="00DE26A0">
        <w:rPr>
          <w:rFonts w:ascii="Arial" w:hAnsi="Arial" w:cs="Arial"/>
          <w:i/>
          <w:sz w:val="20"/>
          <w:szCs w:val="20"/>
        </w:rPr>
        <w:t>CLN</w:t>
      </w:r>
      <w:r>
        <w:rPr>
          <w:rFonts w:ascii="Arial" w:hAnsi="Arial" w:cs="Arial"/>
          <w:i/>
          <w:sz w:val="20"/>
          <w:szCs w:val="20"/>
        </w:rPr>
        <w:t>)</w:t>
      </w:r>
    </w:p>
    <w:p w14:paraId="19FB4BE2" w14:textId="77777777" w:rsidR="000F1C9B" w:rsidRDefault="000F1C9B">
      <w:pPr>
        <w:rPr>
          <w:rFonts w:ascii="Arial" w:hAnsi="Arial" w:cs="Arial"/>
        </w:rPr>
      </w:pPr>
      <w:r>
        <w:rPr>
          <w:rFonts w:ascii="Arial" w:hAnsi="Arial" w:cs="Arial"/>
        </w:rPr>
        <w:br w:type="page"/>
      </w:r>
    </w:p>
    <w:p w14:paraId="5500F98E" w14:textId="45F8B2AC" w:rsidR="00D34DDA" w:rsidRDefault="00D34DDA" w:rsidP="008A70F4">
      <w:pPr>
        <w:spacing w:after="0" w:line="360" w:lineRule="auto"/>
        <w:jc w:val="center"/>
        <w:rPr>
          <w:rFonts w:ascii="Arial" w:hAnsi="Arial" w:cs="Arial"/>
        </w:rPr>
      </w:pPr>
      <w:r w:rsidRPr="00A16E02">
        <w:rPr>
          <w:rFonts w:ascii="Arial" w:hAnsi="Arial" w:cs="Arial"/>
        </w:rPr>
        <w:lastRenderedPageBreak/>
        <w:t xml:space="preserve">Graphique </w:t>
      </w:r>
      <w:r>
        <w:rPr>
          <w:rFonts w:ascii="Arial" w:hAnsi="Arial" w:cs="Arial"/>
        </w:rPr>
        <w:t>1</w:t>
      </w:r>
      <w:r w:rsidR="000F1C9B">
        <w:rPr>
          <w:rFonts w:ascii="Arial" w:hAnsi="Arial" w:cs="Arial"/>
        </w:rPr>
        <w:t>0</w:t>
      </w:r>
      <w:r w:rsidRPr="00A16E02">
        <w:rPr>
          <w:rFonts w:ascii="Arial" w:hAnsi="Arial" w:cs="Arial"/>
        </w:rPr>
        <w:t xml:space="preserve"> –</w:t>
      </w:r>
      <w:r>
        <w:rPr>
          <w:rFonts w:ascii="Arial" w:hAnsi="Arial" w:cs="Arial"/>
        </w:rPr>
        <w:t xml:space="preserve"> </w:t>
      </w:r>
      <w:r w:rsidRPr="006B390B">
        <w:rPr>
          <w:rFonts w:ascii="Arial" w:hAnsi="Arial" w:cs="Arial"/>
          <w:b/>
        </w:rPr>
        <w:t>Mises en vente</w:t>
      </w:r>
      <w:r>
        <w:rPr>
          <w:rFonts w:ascii="Arial" w:hAnsi="Arial" w:cs="Arial"/>
          <w:b/>
        </w:rPr>
        <w:t xml:space="preserve">, </w:t>
      </w:r>
      <w:r w:rsidRPr="006B390B">
        <w:rPr>
          <w:rFonts w:ascii="Arial" w:hAnsi="Arial" w:cs="Arial"/>
          <w:b/>
        </w:rPr>
        <w:t xml:space="preserve">ventes </w:t>
      </w:r>
      <w:r>
        <w:rPr>
          <w:rFonts w:ascii="Arial" w:hAnsi="Arial" w:cs="Arial"/>
          <w:b/>
        </w:rPr>
        <w:t>et taux d’annulation des ventes en promotion immobilière sur le segment des particuliers</w:t>
      </w:r>
    </w:p>
    <w:p w14:paraId="52923E6D" w14:textId="7E3E8B61" w:rsidR="00D34DDA" w:rsidRDefault="00D34DDA" w:rsidP="00D34DDA">
      <w:pPr>
        <w:spacing w:after="60" w:line="240" w:lineRule="auto"/>
        <w:jc w:val="center"/>
        <w:rPr>
          <w:rFonts w:ascii="Arial" w:hAnsi="Arial" w:cs="Arial"/>
        </w:rPr>
      </w:pPr>
      <w:r w:rsidRPr="00D34DDA">
        <w:rPr>
          <w:rFonts w:ascii="Arial" w:hAnsi="Arial" w:cs="Arial"/>
          <w:noProof/>
        </w:rPr>
        <w:drawing>
          <wp:inline distT="0" distB="0" distL="0" distR="0" wp14:anchorId="72B745F5" wp14:editId="0E4DCBF0">
            <wp:extent cx="5760720" cy="3064510"/>
            <wp:effectExtent l="0" t="0" r="0" b="2540"/>
            <wp:docPr id="4975863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33BEB7AD" w14:textId="0B870C4D" w:rsidR="00D34DDA" w:rsidRDefault="00D34DDA" w:rsidP="003C716D">
      <w:pPr>
        <w:spacing w:after="120" w:line="360" w:lineRule="auto"/>
        <w:jc w:val="center"/>
        <w:rPr>
          <w:rFonts w:ascii="Arial" w:hAnsi="Arial" w:cs="Arial"/>
          <w:i/>
          <w:sz w:val="20"/>
          <w:szCs w:val="20"/>
        </w:rPr>
      </w:pPr>
      <w:r>
        <w:rPr>
          <w:rFonts w:ascii="Arial" w:hAnsi="Arial" w:cs="Arial"/>
          <w:i/>
          <w:sz w:val="20"/>
          <w:szCs w:val="20"/>
        </w:rPr>
        <w:t>Source : MTECT/CGDD/SDES, ECLN</w:t>
      </w:r>
    </w:p>
    <w:p w14:paraId="07CCA97D" w14:textId="236DBCF0" w:rsidR="003D16CC" w:rsidRPr="008F200B" w:rsidRDefault="003D16CC" w:rsidP="0038389D">
      <w:pPr>
        <w:spacing w:after="120" w:line="360" w:lineRule="auto"/>
        <w:jc w:val="both"/>
        <w:rPr>
          <w:rFonts w:ascii="Arial" w:hAnsi="Arial" w:cs="Arial"/>
        </w:rPr>
      </w:pPr>
      <w:r w:rsidRPr="008F200B">
        <w:rPr>
          <w:rFonts w:ascii="Arial" w:hAnsi="Arial" w:cs="Arial"/>
        </w:rPr>
        <w:t>En seulement deux années, le rythme de vente aux particuliers baisse de plus de 55</w:t>
      </w:r>
      <w:r w:rsidR="00144715" w:rsidRPr="008F200B">
        <w:rPr>
          <w:rFonts w:ascii="Arial" w:hAnsi="Arial" w:cs="Arial"/>
        </w:rPr>
        <w:t> </w:t>
      </w:r>
      <w:r w:rsidRPr="008F200B">
        <w:rPr>
          <w:rFonts w:ascii="Arial" w:hAnsi="Arial" w:cs="Arial"/>
        </w:rPr>
        <w:t xml:space="preserve">000 logements. De plus, le taux d’annulation s’envole de 7 </w:t>
      </w:r>
      <w:proofErr w:type="spellStart"/>
      <w:r w:rsidRPr="008F200B">
        <w:rPr>
          <w:rFonts w:ascii="Arial" w:hAnsi="Arial" w:cs="Arial"/>
        </w:rPr>
        <w:t>ppct</w:t>
      </w:r>
      <w:proofErr w:type="spellEnd"/>
      <w:r w:rsidRPr="008F200B">
        <w:rPr>
          <w:rFonts w:ascii="Arial" w:hAnsi="Arial" w:cs="Arial"/>
        </w:rPr>
        <w:t xml:space="preserve"> sur un an pour s’afficher à 22,8</w:t>
      </w:r>
      <w:r w:rsidR="00144715" w:rsidRPr="008F200B">
        <w:rPr>
          <w:rFonts w:ascii="Arial" w:hAnsi="Arial" w:cs="Arial"/>
        </w:rPr>
        <w:t> </w:t>
      </w:r>
      <w:r w:rsidRPr="008F200B">
        <w:rPr>
          <w:rFonts w:ascii="Arial" w:hAnsi="Arial" w:cs="Arial"/>
        </w:rPr>
        <w:t>%, score le plus élevé depuis 2017 (première année disponible).</w:t>
      </w:r>
    </w:p>
    <w:p w14:paraId="518EC905" w14:textId="67F47A2B" w:rsidR="003D16CC" w:rsidRPr="008F200B" w:rsidRDefault="003D16CC" w:rsidP="003D16CC">
      <w:pPr>
        <w:spacing w:after="120" w:line="360" w:lineRule="auto"/>
        <w:jc w:val="both"/>
        <w:rPr>
          <w:rFonts w:ascii="Arial" w:hAnsi="Arial" w:cs="Arial"/>
        </w:rPr>
      </w:pPr>
      <w:r w:rsidRPr="008F200B">
        <w:rPr>
          <w:rFonts w:ascii="Arial" w:hAnsi="Arial" w:cs="Arial"/>
        </w:rPr>
        <w:t xml:space="preserve">Par ailleurs, la baisse </w:t>
      </w:r>
      <w:r w:rsidR="00144715" w:rsidRPr="008F200B">
        <w:rPr>
          <w:rFonts w:ascii="Arial" w:hAnsi="Arial" w:cs="Arial"/>
        </w:rPr>
        <w:t xml:space="preserve">des ventes </w:t>
      </w:r>
      <w:r w:rsidRPr="008F200B">
        <w:rPr>
          <w:rFonts w:ascii="Arial" w:hAnsi="Arial" w:cs="Arial"/>
        </w:rPr>
        <w:t>se tarit à peine entre les quatrièmes trimestres 2022 et 2023, à -33,5</w:t>
      </w:r>
      <w:r w:rsidR="00144715" w:rsidRPr="008F200B">
        <w:rPr>
          <w:rFonts w:ascii="Arial" w:hAnsi="Arial" w:cs="Arial"/>
        </w:rPr>
        <w:t> </w:t>
      </w:r>
      <w:r w:rsidRPr="008F200B">
        <w:rPr>
          <w:rFonts w:ascii="Arial" w:hAnsi="Arial" w:cs="Arial"/>
        </w:rPr>
        <w:t>%. Quant au taux d’annulation, il continue de progresser à 27,1</w:t>
      </w:r>
      <w:r w:rsidR="00144715" w:rsidRPr="008F200B">
        <w:rPr>
          <w:rFonts w:ascii="Arial" w:hAnsi="Arial" w:cs="Arial"/>
        </w:rPr>
        <w:t> </w:t>
      </w:r>
      <w:r w:rsidRPr="008F200B">
        <w:rPr>
          <w:rFonts w:ascii="Arial" w:hAnsi="Arial" w:cs="Arial"/>
        </w:rPr>
        <w:t>% sur le quatrième trimestre 2023.</w:t>
      </w:r>
    </w:p>
    <w:p w14:paraId="5DDB06A1" w14:textId="56D34584" w:rsidR="00D34DDA" w:rsidRPr="008F200B" w:rsidRDefault="00D34DDA" w:rsidP="00DC5750">
      <w:pPr>
        <w:spacing w:after="120" w:line="360" w:lineRule="auto"/>
        <w:jc w:val="both"/>
        <w:rPr>
          <w:rFonts w:ascii="Arial" w:hAnsi="Arial" w:cs="Arial"/>
        </w:rPr>
      </w:pPr>
      <w:r w:rsidRPr="008F200B">
        <w:rPr>
          <w:rFonts w:ascii="Arial" w:hAnsi="Arial" w:cs="Arial"/>
        </w:rPr>
        <w:t>En revanche, les ventes en bloc se redressent à +8,3</w:t>
      </w:r>
      <w:r w:rsidR="00144715" w:rsidRPr="008F200B">
        <w:rPr>
          <w:rFonts w:ascii="Arial" w:hAnsi="Arial" w:cs="Arial"/>
        </w:rPr>
        <w:t> </w:t>
      </w:r>
      <w:r w:rsidRPr="008F200B">
        <w:rPr>
          <w:rFonts w:ascii="Arial" w:hAnsi="Arial" w:cs="Arial"/>
        </w:rPr>
        <w:t>% en 2023, grâce à celles signées avec des bailleurs sociaux (+14,1</w:t>
      </w:r>
      <w:r w:rsidR="00144715" w:rsidRPr="008F200B">
        <w:rPr>
          <w:rFonts w:ascii="Arial" w:hAnsi="Arial" w:cs="Arial"/>
        </w:rPr>
        <w:t> </w:t>
      </w:r>
      <w:r w:rsidRPr="008F200B">
        <w:rPr>
          <w:rFonts w:ascii="Arial" w:hAnsi="Arial" w:cs="Arial"/>
        </w:rPr>
        <w:t>%)</w:t>
      </w:r>
      <w:r w:rsidR="006D0B8D">
        <w:rPr>
          <w:rFonts w:ascii="Arial" w:hAnsi="Arial" w:cs="Arial"/>
        </w:rPr>
        <w:t xml:space="preserve">. </w:t>
      </w:r>
      <w:r w:rsidRPr="008F200B">
        <w:rPr>
          <w:rFonts w:ascii="Arial" w:hAnsi="Arial" w:cs="Arial"/>
        </w:rPr>
        <w:t>En revanche, celles contractées auprès d’autres institutionnels reculent de 8,9</w:t>
      </w:r>
      <w:r w:rsidR="00144715" w:rsidRPr="008F200B">
        <w:rPr>
          <w:rFonts w:ascii="Arial" w:hAnsi="Arial" w:cs="Arial"/>
        </w:rPr>
        <w:t> </w:t>
      </w:r>
      <w:r w:rsidRPr="008F200B">
        <w:rPr>
          <w:rFonts w:ascii="Arial" w:hAnsi="Arial" w:cs="Arial"/>
        </w:rPr>
        <w:t xml:space="preserve">%. </w:t>
      </w:r>
    </w:p>
    <w:p w14:paraId="3FD4BD15" w14:textId="0675701E" w:rsidR="00D76482" w:rsidRDefault="00D76482" w:rsidP="00EA2BAB">
      <w:pPr>
        <w:spacing w:after="120" w:line="360" w:lineRule="auto"/>
        <w:jc w:val="both"/>
        <w:rPr>
          <w:rFonts w:ascii="Arial" w:hAnsi="Arial" w:cs="Arial"/>
        </w:rPr>
      </w:pPr>
      <w:bookmarkStart w:id="0" w:name="_Hlk141363354"/>
      <w:r w:rsidRPr="008F200B">
        <w:rPr>
          <w:rFonts w:ascii="Arial" w:hAnsi="Arial" w:cs="Arial"/>
        </w:rPr>
        <w:t>Du côté de l’offre nouvelle, en 2023, les mises en vente aux particuliers abandonnent 30,8</w:t>
      </w:r>
      <w:r w:rsidR="008F200B" w:rsidRPr="008F200B">
        <w:rPr>
          <w:rFonts w:ascii="Arial" w:hAnsi="Arial" w:cs="Arial"/>
        </w:rPr>
        <w:t> </w:t>
      </w:r>
      <w:r w:rsidRPr="008F200B">
        <w:rPr>
          <w:rFonts w:ascii="Arial" w:hAnsi="Arial" w:cs="Arial"/>
        </w:rPr>
        <w:t>%, avec même une forte accélération sur le quatrième trimestre 2023, à -44,1</w:t>
      </w:r>
      <w:r w:rsidR="008F200B" w:rsidRPr="008F200B">
        <w:rPr>
          <w:rFonts w:ascii="Arial" w:hAnsi="Arial" w:cs="Arial"/>
        </w:rPr>
        <w:t> </w:t>
      </w:r>
      <w:r w:rsidRPr="008F200B">
        <w:rPr>
          <w:rFonts w:ascii="Arial" w:hAnsi="Arial" w:cs="Arial"/>
        </w:rPr>
        <w:t>% en glissement annuel. Elles s’établissent à 72</w:t>
      </w:r>
      <w:r w:rsidR="008F200B" w:rsidRPr="008F200B">
        <w:rPr>
          <w:rFonts w:ascii="Arial" w:hAnsi="Arial" w:cs="Arial"/>
        </w:rPr>
        <w:t> </w:t>
      </w:r>
      <w:r w:rsidRPr="008F200B">
        <w:rPr>
          <w:rFonts w:ascii="Arial" w:hAnsi="Arial" w:cs="Arial"/>
        </w:rPr>
        <w:t>400 unités en 2023, comme en 2009 et plus de 27</w:t>
      </w:r>
      <w:r w:rsidR="008F200B" w:rsidRPr="008F200B">
        <w:rPr>
          <w:rFonts w:ascii="Arial" w:hAnsi="Arial" w:cs="Arial"/>
        </w:rPr>
        <w:t> </w:t>
      </w:r>
      <w:r w:rsidRPr="008F200B">
        <w:rPr>
          <w:rFonts w:ascii="Arial" w:hAnsi="Arial" w:cs="Arial"/>
        </w:rPr>
        <w:t>000 unités en-dessous de la moyenne observée depuis 1995.</w:t>
      </w:r>
    </w:p>
    <w:p w14:paraId="796A3FBE" w14:textId="1F8B58A7" w:rsidR="00EA2BAB" w:rsidRPr="005A2240" w:rsidRDefault="007E2D35" w:rsidP="00EA2BAB">
      <w:pPr>
        <w:spacing w:after="120" w:line="360" w:lineRule="auto"/>
        <w:jc w:val="both"/>
        <w:rPr>
          <w:rFonts w:ascii="Arial" w:hAnsi="Arial" w:cs="Arial"/>
        </w:rPr>
      </w:pPr>
      <w:r w:rsidRPr="000E44C9">
        <w:rPr>
          <w:rFonts w:ascii="Arial" w:hAnsi="Arial" w:cs="Arial"/>
        </w:rPr>
        <w:t>Pour l’avenir, dans le collectif, selon l’enquête de l’Insee réalisée auprès des promoteurs, les perspectives de mises en chantier se maintiennent au plus bas à l’horizon du printemps (cf. graphique 11), soit 9,3 points au-dessous de leur moyenne de long terme.</w:t>
      </w:r>
    </w:p>
    <w:bookmarkEnd w:id="0"/>
    <w:p w14:paraId="5C7A153A" w14:textId="77777777" w:rsidR="000F1C9B" w:rsidRDefault="000F1C9B">
      <w:pPr>
        <w:rPr>
          <w:rFonts w:ascii="Arial" w:hAnsi="Arial" w:cs="Arial"/>
        </w:rPr>
      </w:pPr>
      <w:r>
        <w:rPr>
          <w:rFonts w:ascii="Arial" w:hAnsi="Arial" w:cs="Arial"/>
        </w:rPr>
        <w:br w:type="page"/>
      </w:r>
    </w:p>
    <w:p w14:paraId="752CE53B" w14:textId="576F1B60" w:rsidR="00F10A28" w:rsidRPr="00447AA0" w:rsidRDefault="00F10A28" w:rsidP="00274DB6">
      <w:pPr>
        <w:spacing w:after="0" w:line="360" w:lineRule="auto"/>
        <w:jc w:val="center"/>
        <w:rPr>
          <w:rFonts w:ascii="Arial" w:hAnsi="Arial" w:cs="Arial"/>
        </w:rPr>
      </w:pPr>
      <w:r w:rsidRPr="00447AA0">
        <w:rPr>
          <w:rFonts w:ascii="Arial" w:hAnsi="Arial" w:cs="Arial"/>
        </w:rPr>
        <w:lastRenderedPageBreak/>
        <w:t xml:space="preserve">Graphique </w:t>
      </w:r>
      <w:r w:rsidR="00CC1627">
        <w:rPr>
          <w:rFonts w:ascii="Arial" w:hAnsi="Arial" w:cs="Arial"/>
        </w:rPr>
        <w:t>1</w:t>
      </w:r>
      <w:r w:rsidR="009663A0">
        <w:rPr>
          <w:rFonts w:ascii="Arial" w:hAnsi="Arial" w:cs="Arial"/>
        </w:rPr>
        <w:t>1</w:t>
      </w:r>
      <w:r w:rsidRPr="00447AA0">
        <w:rPr>
          <w:rFonts w:ascii="Arial" w:hAnsi="Arial" w:cs="Arial"/>
        </w:rPr>
        <w:t xml:space="preserve"> – </w:t>
      </w:r>
      <w:r w:rsidRPr="00447AA0">
        <w:rPr>
          <w:rFonts w:ascii="Arial" w:hAnsi="Arial" w:cs="Arial"/>
          <w:b/>
        </w:rPr>
        <w:t>Perspectives de mises en chantier exprimées par les promoteurs</w:t>
      </w:r>
    </w:p>
    <w:p w14:paraId="566301AB" w14:textId="5C992007" w:rsidR="00F10A28" w:rsidRPr="00911002" w:rsidRDefault="007A19E2" w:rsidP="00911002">
      <w:pPr>
        <w:spacing w:after="60" w:line="240" w:lineRule="auto"/>
        <w:jc w:val="center"/>
        <w:rPr>
          <w:rFonts w:ascii="Arial" w:hAnsi="Arial" w:cs="Arial"/>
          <w:noProof/>
          <w:lang w:eastAsia="fr-FR"/>
        </w:rPr>
      </w:pPr>
      <w:r w:rsidRPr="007A19E2">
        <w:rPr>
          <w:rFonts w:ascii="Arial" w:hAnsi="Arial" w:cs="Arial"/>
          <w:noProof/>
          <w:lang w:eastAsia="fr-FR"/>
        </w:rPr>
        <w:drawing>
          <wp:inline distT="0" distB="0" distL="0" distR="0" wp14:anchorId="5153296F" wp14:editId="5F76240C">
            <wp:extent cx="5760720" cy="3054985"/>
            <wp:effectExtent l="0" t="0" r="0" b="0"/>
            <wp:docPr id="127934684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054985"/>
                    </a:xfrm>
                    <a:prstGeom prst="rect">
                      <a:avLst/>
                    </a:prstGeom>
                    <a:noFill/>
                    <a:ln>
                      <a:noFill/>
                    </a:ln>
                  </pic:spPr>
                </pic:pic>
              </a:graphicData>
            </a:graphic>
          </wp:inline>
        </w:drawing>
      </w:r>
    </w:p>
    <w:p w14:paraId="2F43D311" w14:textId="458042A5" w:rsidR="00F10A28" w:rsidRDefault="00B11DF5" w:rsidP="00587462">
      <w:pPr>
        <w:spacing w:after="120" w:line="360" w:lineRule="auto"/>
        <w:jc w:val="center"/>
        <w:rPr>
          <w:rFonts w:ascii="Arial" w:hAnsi="Arial" w:cs="Arial"/>
        </w:rPr>
      </w:pPr>
      <w:r>
        <w:rPr>
          <w:rFonts w:ascii="Arial" w:hAnsi="Arial" w:cs="Arial"/>
          <w:i/>
          <w:sz w:val="20"/>
          <w:szCs w:val="20"/>
        </w:rPr>
        <w:t>Source : c</w:t>
      </w:r>
      <w:r w:rsidR="00670B56">
        <w:rPr>
          <w:rFonts w:ascii="Arial" w:hAnsi="Arial" w:cs="Arial"/>
          <w:i/>
          <w:sz w:val="20"/>
          <w:szCs w:val="20"/>
        </w:rPr>
        <w:t>alculs FFB d’après Insee</w:t>
      </w:r>
    </w:p>
    <w:p w14:paraId="7151C338" w14:textId="21F9C9A5" w:rsidR="00EA2BAB" w:rsidRPr="005A2240" w:rsidRDefault="007E2D35" w:rsidP="00EA2BAB">
      <w:pPr>
        <w:spacing w:after="120" w:line="360" w:lineRule="auto"/>
        <w:jc w:val="both"/>
        <w:rPr>
          <w:rFonts w:ascii="Arial" w:hAnsi="Arial" w:cs="Arial"/>
        </w:rPr>
      </w:pPr>
      <w:r w:rsidRPr="000E44C9">
        <w:rPr>
          <w:rFonts w:ascii="Arial" w:hAnsi="Arial" w:cs="Arial"/>
        </w:rPr>
        <w:t xml:space="preserve">L’effondrement ressort très clair en matière de </w:t>
      </w:r>
      <w:r w:rsidR="000E44C9" w:rsidRPr="000E44C9">
        <w:rPr>
          <w:rFonts w:ascii="Arial" w:hAnsi="Arial" w:cs="Arial"/>
        </w:rPr>
        <w:t xml:space="preserve">perspectives de </w:t>
      </w:r>
      <w:r w:rsidRPr="000E44C9">
        <w:rPr>
          <w:rFonts w:ascii="Arial" w:hAnsi="Arial" w:cs="Arial"/>
        </w:rPr>
        <w:t>mises en chantier destinées à l’accession</w:t>
      </w:r>
      <w:r w:rsidR="000E44C9" w:rsidRPr="000E44C9">
        <w:rPr>
          <w:rFonts w:ascii="Arial" w:hAnsi="Arial" w:cs="Arial"/>
        </w:rPr>
        <w:t>,</w:t>
      </w:r>
      <w:r w:rsidRPr="000E44C9">
        <w:rPr>
          <w:rFonts w:ascii="Arial" w:hAnsi="Arial" w:cs="Arial"/>
        </w:rPr>
        <w:t xml:space="preserve"> qui s’affichent 8,7 points </w:t>
      </w:r>
      <w:r w:rsidR="000E44C9" w:rsidRPr="000E44C9">
        <w:rPr>
          <w:rFonts w:ascii="Arial" w:hAnsi="Arial" w:cs="Arial"/>
        </w:rPr>
        <w:t>en</w:t>
      </w:r>
      <w:r w:rsidRPr="000E44C9">
        <w:rPr>
          <w:rFonts w:ascii="Arial" w:hAnsi="Arial" w:cs="Arial"/>
        </w:rPr>
        <w:t>-dessous de leur moyenne de longue période, alors que celles relatives à l’investissement locatif restent moins dégradées. Par ailleurs, la part des promoteurs qui envisagent de mettre à l’étude de nouveaux programmes immobiliers continue de reculer pour se lire à seulement 47,0</w:t>
      </w:r>
      <w:r w:rsidR="000E44C9" w:rsidRPr="000E44C9">
        <w:rPr>
          <w:rFonts w:ascii="Arial" w:hAnsi="Arial" w:cs="Arial"/>
        </w:rPr>
        <w:t> </w:t>
      </w:r>
      <w:r w:rsidRPr="000E44C9">
        <w:rPr>
          <w:rFonts w:ascii="Arial" w:hAnsi="Arial" w:cs="Arial"/>
        </w:rPr>
        <w:t xml:space="preserve">% à fin janvier 2024, soit 15,9 </w:t>
      </w:r>
      <w:proofErr w:type="spellStart"/>
      <w:r w:rsidR="00015D32">
        <w:rPr>
          <w:rFonts w:ascii="Arial" w:hAnsi="Arial" w:cs="Arial"/>
        </w:rPr>
        <w:t>ppct</w:t>
      </w:r>
      <w:proofErr w:type="spellEnd"/>
      <w:r w:rsidRPr="000E44C9">
        <w:rPr>
          <w:rFonts w:ascii="Arial" w:hAnsi="Arial" w:cs="Arial"/>
        </w:rPr>
        <w:t xml:space="preserve"> au-dessous de la moyenne de long terme. Il s’agit de son score le plus faible depuis la mise en place de l’enquête au début des années </w:t>
      </w:r>
      <w:r w:rsidR="000E44C9" w:rsidRPr="000E44C9">
        <w:rPr>
          <w:rFonts w:ascii="Arial" w:hAnsi="Arial" w:cs="Arial"/>
        </w:rPr>
        <w:t>19</w:t>
      </w:r>
      <w:r w:rsidRPr="000E44C9">
        <w:rPr>
          <w:rFonts w:ascii="Arial" w:hAnsi="Arial" w:cs="Arial"/>
        </w:rPr>
        <w:t>90.</w:t>
      </w:r>
    </w:p>
    <w:p w14:paraId="53D1A080" w14:textId="65724BD8" w:rsidR="009739F9" w:rsidRPr="00AA31C8" w:rsidRDefault="00804772" w:rsidP="009739F9">
      <w:pPr>
        <w:spacing w:after="120" w:line="360" w:lineRule="auto"/>
        <w:jc w:val="both"/>
        <w:rPr>
          <w:rFonts w:ascii="Arial" w:hAnsi="Arial" w:cs="Arial"/>
        </w:rPr>
      </w:pPr>
      <w:r w:rsidRPr="008F200B">
        <w:rPr>
          <w:rFonts w:ascii="Arial" w:hAnsi="Arial" w:cs="Arial"/>
        </w:rPr>
        <w:t xml:space="preserve">Quant </w:t>
      </w:r>
      <w:r w:rsidR="006B0289" w:rsidRPr="008F200B">
        <w:rPr>
          <w:rFonts w:ascii="Arial" w:hAnsi="Arial" w:cs="Arial"/>
        </w:rPr>
        <w:t>aux</w:t>
      </w:r>
      <w:r w:rsidR="001E6EC3" w:rsidRPr="008F200B">
        <w:rPr>
          <w:rFonts w:ascii="Arial" w:hAnsi="Arial" w:cs="Arial"/>
        </w:rPr>
        <w:t xml:space="preserve"> ventes </w:t>
      </w:r>
      <w:r w:rsidR="006B0289" w:rsidRPr="008F200B">
        <w:rPr>
          <w:rFonts w:ascii="Arial" w:hAnsi="Arial" w:cs="Arial"/>
        </w:rPr>
        <w:t xml:space="preserve">en diffus </w:t>
      </w:r>
      <w:r w:rsidR="001E6EC3" w:rsidRPr="008F200B">
        <w:rPr>
          <w:rFonts w:ascii="Arial" w:hAnsi="Arial" w:cs="Arial"/>
        </w:rPr>
        <w:t>des constructeurs de maisons individuelles (les « </w:t>
      </w:r>
      <w:proofErr w:type="spellStart"/>
      <w:r w:rsidR="001E6EC3" w:rsidRPr="008F200B">
        <w:rPr>
          <w:rFonts w:ascii="Arial" w:hAnsi="Arial" w:cs="Arial"/>
        </w:rPr>
        <w:t>Cmistes</w:t>
      </w:r>
      <w:proofErr w:type="spellEnd"/>
      <w:r w:rsidR="001E6EC3" w:rsidRPr="008F200B">
        <w:rPr>
          <w:rFonts w:ascii="Arial" w:hAnsi="Arial" w:cs="Arial"/>
        </w:rPr>
        <w:t> »)</w:t>
      </w:r>
      <w:r w:rsidR="006B0289" w:rsidRPr="008F200B">
        <w:rPr>
          <w:rFonts w:ascii="Arial" w:hAnsi="Arial" w:cs="Arial"/>
        </w:rPr>
        <w:t xml:space="preserve">, </w:t>
      </w:r>
      <w:r w:rsidR="009739F9" w:rsidRPr="008F200B">
        <w:rPr>
          <w:rFonts w:ascii="Arial" w:hAnsi="Arial" w:cs="Arial"/>
        </w:rPr>
        <w:t>après -</w:t>
      </w:r>
      <w:r w:rsidR="002E3133" w:rsidRPr="008F200B">
        <w:rPr>
          <w:rFonts w:ascii="Arial" w:hAnsi="Arial" w:cs="Arial"/>
        </w:rPr>
        <w:t>58,1 </w:t>
      </w:r>
      <w:r w:rsidR="009739F9" w:rsidRPr="008F200B">
        <w:rPr>
          <w:rFonts w:ascii="Arial" w:hAnsi="Arial" w:cs="Arial"/>
        </w:rPr>
        <w:t xml:space="preserve">% </w:t>
      </w:r>
      <w:r w:rsidR="002E3133" w:rsidRPr="008F200B">
        <w:rPr>
          <w:rFonts w:ascii="Arial" w:hAnsi="Arial" w:cs="Arial"/>
        </w:rPr>
        <w:t>en cumul sur les deux dernières années</w:t>
      </w:r>
      <w:r w:rsidR="009739F9" w:rsidRPr="008F200B">
        <w:rPr>
          <w:rFonts w:ascii="Arial" w:hAnsi="Arial" w:cs="Arial"/>
        </w:rPr>
        <w:t xml:space="preserve">, </w:t>
      </w:r>
      <w:r w:rsidR="002E3133" w:rsidRPr="008F200B">
        <w:rPr>
          <w:rFonts w:ascii="Arial" w:hAnsi="Arial" w:cs="Arial"/>
        </w:rPr>
        <w:t xml:space="preserve">soit une perte de 81 200 logements, </w:t>
      </w:r>
      <w:r w:rsidR="009739F9" w:rsidRPr="008F200B">
        <w:rPr>
          <w:rFonts w:ascii="Arial" w:hAnsi="Arial" w:cs="Arial"/>
        </w:rPr>
        <w:t>elles continuent de plonger, à -</w:t>
      </w:r>
      <w:r w:rsidR="002E3133" w:rsidRPr="008F200B">
        <w:rPr>
          <w:rFonts w:ascii="Arial" w:hAnsi="Arial" w:cs="Arial"/>
        </w:rPr>
        <w:t>44</w:t>
      </w:r>
      <w:r w:rsidR="009739F9" w:rsidRPr="008F200B">
        <w:rPr>
          <w:rFonts w:ascii="Arial" w:hAnsi="Arial" w:cs="Arial"/>
        </w:rPr>
        <w:t>,</w:t>
      </w:r>
      <w:r w:rsidR="000575F0" w:rsidRPr="008F200B">
        <w:rPr>
          <w:rFonts w:ascii="Arial" w:hAnsi="Arial" w:cs="Arial"/>
        </w:rPr>
        <w:t>1</w:t>
      </w:r>
      <w:r w:rsidR="009739F9" w:rsidRPr="008F200B">
        <w:rPr>
          <w:rFonts w:ascii="Arial" w:hAnsi="Arial" w:cs="Arial"/>
        </w:rPr>
        <w:t xml:space="preserve"> % en </w:t>
      </w:r>
      <w:r w:rsidR="00904DAD" w:rsidRPr="008F200B">
        <w:rPr>
          <w:rFonts w:ascii="Arial" w:hAnsi="Arial" w:cs="Arial"/>
        </w:rPr>
        <w:t>glissement annuel sur trois mois à fin janvier 2024</w:t>
      </w:r>
      <w:r w:rsidR="009739F9" w:rsidRPr="008F200B">
        <w:rPr>
          <w:rFonts w:ascii="Arial" w:hAnsi="Arial" w:cs="Arial"/>
        </w:rPr>
        <w:t xml:space="preserve">. Avec seulement </w:t>
      </w:r>
      <w:r w:rsidR="005B2C3C" w:rsidRPr="008F200B">
        <w:rPr>
          <w:rFonts w:ascii="Arial" w:hAnsi="Arial" w:cs="Arial"/>
        </w:rPr>
        <w:t>5</w:t>
      </w:r>
      <w:r w:rsidR="00904DAD" w:rsidRPr="008F200B">
        <w:rPr>
          <w:rFonts w:ascii="Arial" w:hAnsi="Arial" w:cs="Arial"/>
        </w:rPr>
        <w:t>6</w:t>
      </w:r>
      <w:r w:rsidR="005B2C3C" w:rsidRPr="008F200B">
        <w:rPr>
          <w:rFonts w:ascii="Arial" w:hAnsi="Arial" w:cs="Arial"/>
        </w:rPr>
        <w:t> </w:t>
      </w:r>
      <w:r w:rsidR="00904DAD" w:rsidRPr="008F200B">
        <w:rPr>
          <w:rFonts w:ascii="Arial" w:hAnsi="Arial" w:cs="Arial"/>
        </w:rPr>
        <w:t>3</w:t>
      </w:r>
      <w:r w:rsidR="005B2C3C" w:rsidRPr="008F200B">
        <w:rPr>
          <w:rFonts w:ascii="Arial" w:hAnsi="Arial" w:cs="Arial"/>
        </w:rPr>
        <w:t>00</w:t>
      </w:r>
      <w:r w:rsidR="009739F9" w:rsidRPr="008F200B">
        <w:rPr>
          <w:rFonts w:ascii="Arial" w:hAnsi="Arial" w:cs="Arial"/>
        </w:rPr>
        <w:t xml:space="preserve"> logements vendus </w:t>
      </w:r>
      <w:r w:rsidR="00904DAD" w:rsidRPr="008F200B">
        <w:rPr>
          <w:rFonts w:ascii="Arial" w:hAnsi="Arial" w:cs="Arial"/>
        </w:rPr>
        <w:t>sur les douze derniers mois</w:t>
      </w:r>
      <w:r w:rsidR="009739F9" w:rsidRPr="008F200B">
        <w:rPr>
          <w:rFonts w:ascii="Arial" w:hAnsi="Arial" w:cs="Arial"/>
        </w:rPr>
        <w:t xml:space="preserve">, on atteint </w:t>
      </w:r>
      <w:r w:rsidR="00B01E31" w:rsidRPr="008F200B">
        <w:rPr>
          <w:rFonts w:ascii="Arial" w:hAnsi="Arial" w:cs="Arial"/>
        </w:rPr>
        <w:t xml:space="preserve">clairement </w:t>
      </w:r>
      <w:r w:rsidR="009739F9" w:rsidRPr="008F200B">
        <w:rPr>
          <w:rFonts w:ascii="Arial" w:hAnsi="Arial" w:cs="Arial"/>
        </w:rPr>
        <w:t>un plus bas depuis 2007 (année d’origine de la série</w:t>
      </w:r>
      <w:r w:rsidR="003D4B0B" w:rsidRPr="008F200B">
        <w:rPr>
          <w:rFonts w:ascii="Arial" w:hAnsi="Arial" w:cs="Arial"/>
        </w:rPr>
        <w:t>, cf. graphique 12</w:t>
      </w:r>
      <w:r w:rsidR="009739F9" w:rsidRPr="008F200B">
        <w:rPr>
          <w:rFonts w:ascii="Arial" w:hAnsi="Arial" w:cs="Arial"/>
        </w:rPr>
        <w:t>)</w:t>
      </w:r>
      <w:r w:rsidR="00914CD0" w:rsidRPr="008F200B">
        <w:rPr>
          <w:rFonts w:ascii="Arial" w:hAnsi="Arial" w:cs="Arial"/>
        </w:rPr>
        <w:t>. Ce dernier se situe 6</w:t>
      </w:r>
      <w:r w:rsidR="002E3133" w:rsidRPr="008F200B">
        <w:rPr>
          <w:rFonts w:ascii="Arial" w:hAnsi="Arial" w:cs="Arial"/>
        </w:rPr>
        <w:t>3</w:t>
      </w:r>
      <w:r w:rsidR="00914CD0" w:rsidRPr="008F200B">
        <w:rPr>
          <w:rFonts w:ascii="Arial" w:hAnsi="Arial" w:cs="Arial"/>
        </w:rPr>
        <w:t> 000 unités au-dessous de la moyenne de long terme</w:t>
      </w:r>
      <w:r w:rsidR="009739F9" w:rsidRPr="008F200B">
        <w:rPr>
          <w:rFonts w:ascii="Arial" w:hAnsi="Arial" w:cs="Arial"/>
        </w:rPr>
        <w:t>.</w:t>
      </w:r>
    </w:p>
    <w:p w14:paraId="11C562AD" w14:textId="77777777" w:rsidR="000F1C9B" w:rsidRDefault="000F1C9B">
      <w:pPr>
        <w:rPr>
          <w:rFonts w:ascii="Arial" w:hAnsi="Arial" w:cs="Arial"/>
          <w:color w:val="000000" w:themeColor="text1"/>
        </w:rPr>
      </w:pPr>
      <w:r>
        <w:rPr>
          <w:rFonts w:ascii="Arial" w:hAnsi="Arial" w:cs="Arial"/>
          <w:color w:val="000000" w:themeColor="text1"/>
        </w:rPr>
        <w:br w:type="page"/>
      </w:r>
    </w:p>
    <w:p w14:paraId="3368C8D1" w14:textId="528D4CBA" w:rsidR="00051B72" w:rsidRDefault="00051B72" w:rsidP="002B141B">
      <w:pPr>
        <w:spacing w:after="0" w:line="360" w:lineRule="auto"/>
        <w:jc w:val="center"/>
        <w:rPr>
          <w:rStyle w:val="Marquedecommentaire"/>
          <w:noProof/>
          <w:sz w:val="22"/>
          <w:szCs w:val="22"/>
          <w:lang w:eastAsia="fr-FR"/>
        </w:rPr>
      </w:pPr>
      <w:r w:rsidRPr="00447AA0">
        <w:rPr>
          <w:rFonts w:ascii="Arial" w:hAnsi="Arial" w:cs="Arial"/>
          <w:color w:val="000000" w:themeColor="text1"/>
        </w:rPr>
        <w:lastRenderedPageBreak/>
        <w:t xml:space="preserve">Graphique </w:t>
      </w:r>
      <w:r w:rsidR="00C25C9A">
        <w:rPr>
          <w:rFonts w:ascii="Arial" w:hAnsi="Arial" w:cs="Arial"/>
          <w:color w:val="000000" w:themeColor="text1"/>
        </w:rPr>
        <w:t>1</w:t>
      </w:r>
      <w:r w:rsidR="009663A0">
        <w:rPr>
          <w:rFonts w:ascii="Arial" w:hAnsi="Arial" w:cs="Arial"/>
          <w:color w:val="000000" w:themeColor="text1"/>
        </w:rPr>
        <w:t>2</w:t>
      </w:r>
      <w:r w:rsidRPr="00447AA0">
        <w:rPr>
          <w:rFonts w:ascii="Arial" w:hAnsi="Arial" w:cs="Arial"/>
          <w:color w:val="000000" w:themeColor="text1"/>
        </w:rPr>
        <w:t xml:space="preserve"> –</w:t>
      </w:r>
      <w:r w:rsidR="00D23E72">
        <w:rPr>
          <w:rFonts w:ascii="Arial" w:hAnsi="Arial" w:cs="Arial"/>
          <w:color w:val="000000" w:themeColor="text1"/>
        </w:rPr>
        <w:t xml:space="preserve"> </w:t>
      </w:r>
      <w:r w:rsidR="004E64A6" w:rsidRPr="004E64A6">
        <w:rPr>
          <w:rFonts w:ascii="Arial" w:hAnsi="Arial" w:cs="Arial"/>
          <w:b/>
          <w:bCs/>
          <w:color w:val="000000" w:themeColor="text1"/>
        </w:rPr>
        <w:t>Cumul sur douze mois à fin janvier des v</w:t>
      </w:r>
      <w:r w:rsidRPr="004E64A6">
        <w:rPr>
          <w:rFonts w:ascii="Arial" w:hAnsi="Arial" w:cs="Arial"/>
          <w:b/>
          <w:bCs/>
          <w:color w:val="000000" w:themeColor="text1"/>
        </w:rPr>
        <w:t>entes</w:t>
      </w:r>
      <w:r w:rsidRPr="00CB4FFA">
        <w:rPr>
          <w:rFonts w:ascii="Arial" w:hAnsi="Arial" w:cs="Arial"/>
          <w:b/>
          <w:color w:val="000000" w:themeColor="text1"/>
        </w:rPr>
        <w:t xml:space="preserve"> de maisons</w:t>
      </w:r>
      <w:r w:rsidRPr="00447AA0">
        <w:rPr>
          <w:rFonts w:ascii="Arial" w:hAnsi="Arial" w:cs="Arial"/>
          <w:b/>
          <w:color w:val="000000" w:themeColor="text1"/>
        </w:rPr>
        <w:t xml:space="preserve"> individuelles </w:t>
      </w:r>
      <w:r w:rsidR="004E64A6">
        <w:rPr>
          <w:rFonts w:ascii="Arial" w:hAnsi="Arial" w:cs="Arial"/>
          <w:b/>
          <w:color w:val="000000" w:themeColor="text1"/>
        </w:rPr>
        <w:t>en</w:t>
      </w:r>
      <w:r w:rsidRPr="00447AA0">
        <w:rPr>
          <w:rFonts w:ascii="Arial" w:hAnsi="Arial" w:cs="Arial"/>
          <w:b/>
          <w:color w:val="000000" w:themeColor="text1"/>
        </w:rPr>
        <w:t xml:space="preserve"> secteur diffus</w:t>
      </w:r>
      <w:r w:rsidR="00BC75F3" w:rsidRPr="00955CC4">
        <w:rPr>
          <w:rStyle w:val="Marquedecommentaire"/>
          <w:color w:val="000000" w:themeColor="text1"/>
          <w:sz w:val="22"/>
          <w:szCs w:val="22"/>
        </w:rPr>
        <w:t xml:space="preserve"> </w:t>
      </w:r>
    </w:p>
    <w:p w14:paraId="5B5E45D3" w14:textId="3DF649A0" w:rsidR="00B34E91" w:rsidRPr="00911002" w:rsidRDefault="003F6CE0" w:rsidP="00340BDA">
      <w:pPr>
        <w:spacing w:after="60" w:line="240" w:lineRule="auto"/>
        <w:jc w:val="center"/>
        <w:rPr>
          <w:rFonts w:ascii="Arial" w:hAnsi="Arial" w:cs="Arial"/>
          <w:noProof/>
          <w:lang w:eastAsia="fr-FR"/>
        </w:rPr>
      </w:pPr>
      <w:r w:rsidRPr="003F6CE0">
        <w:rPr>
          <w:rFonts w:ascii="Arial" w:hAnsi="Arial" w:cs="Arial"/>
          <w:noProof/>
          <w:lang w:eastAsia="fr-FR"/>
        </w:rPr>
        <w:drawing>
          <wp:inline distT="0" distB="0" distL="0" distR="0" wp14:anchorId="53323A6F" wp14:editId="78D67AD2">
            <wp:extent cx="5760720" cy="3064510"/>
            <wp:effectExtent l="0" t="0" r="0" b="2540"/>
            <wp:docPr id="15144043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55ECBE1C" w14:textId="0E35F366" w:rsidR="00051B72" w:rsidRDefault="00051B72" w:rsidP="00B065B6">
      <w:pPr>
        <w:spacing w:after="120" w:line="360" w:lineRule="auto"/>
        <w:jc w:val="center"/>
        <w:rPr>
          <w:rFonts w:ascii="Arial" w:hAnsi="Arial" w:cs="Arial"/>
          <w:i/>
          <w:sz w:val="20"/>
          <w:szCs w:val="20"/>
        </w:rPr>
      </w:pPr>
      <w:r w:rsidRPr="00C352DB">
        <w:rPr>
          <w:rFonts w:ascii="Arial" w:hAnsi="Arial" w:cs="Arial"/>
          <w:i/>
          <w:sz w:val="20"/>
          <w:szCs w:val="20"/>
        </w:rPr>
        <w:t xml:space="preserve">Source : </w:t>
      </w:r>
      <w:r w:rsidR="003D4B0B">
        <w:rPr>
          <w:rFonts w:ascii="Arial" w:hAnsi="Arial" w:cs="Arial"/>
          <w:i/>
          <w:sz w:val="20"/>
          <w:szCs w:val="20"/>
        </w:rPr>
        <w:t xml:space="preserve">calculs FFB d’après </w:t>
      </w:r>
      <w:r w:rsidRPr="00C352DB">
        <w:rPr>
          <w:rFonts w:ascii="Arial" w:hAnsi="Arial" w:cs="Arial"/>
          <w:i/>
          <w:sz w:val="20"/>
          <w:szCs w:val="20"/>
        </w:rPr>
        <w:t xml:space="preserve">CGI </w:t>
      </w:r>
      <w:r>
        <w:rPr>
          <w:rFonts w:ascii="Arial" w:hAnsi="Arial" w:cs="Arial"/>
          <w:i/>
          <w:sz w:val="20"/>
          <w:szCs w:val="20"/>
        </w:rPr>
        <w:t>B</w:t>
      </w:r>
      <w:r w:rsidRPr="00C352DB">
        <w:rPr>
          <w:rFonts w:ascii="Arial" w:hAnsi="Arial" w:cs="Arial"/>
          <w:i/>
          <w:sz w:val="20"/>
          <w:szCs w:val="20"/>
        </w:rPr>
        <w:t>âtiment</w:t>
      </w:r>
      <w:r>
        <w:rPr>
          <w:rFonts w:ascii="Arial" w:hAnsi="Arial" w:cs="Arial"/>
          <w:i/>
          <w:sz w:val="20"/>
          <w:szCs w:val="20"/>
        </w:rPr>
        <w:t>/</w:t>
      </w:r>
      <w:r w:rsidRPr="00C352DB">
        <w:rPr>
          <w:rFonts w:ascii="Arial" w:hAnsi="Arial" w:cs="Arial"/>
          <w:i/>
          <w:sz w:val="20"/>
          <w:szCs w:val="20"/>
        </w:rPr>
        <w:t xml:space="preserve">Caron </w:t>
      </w:r>
      <w:r>
        <w:rPr>
          <w:rFonts w:ascii="Arial" w:hAnsi="Arial" w:cs="Arial"/>
          <w:i/>
          <w:sz w:val="20"/>
          <w:szCs w:val="20"/>
        </w:rPr>
        <w:t>M</w:t>
      </w:r>
      <w:r w:rsidRPr="00C352DB">
        <w:rPr>
          <w:rFonts w:ascii="Arial" w:hAnsi="Arial" w:cs="Arial"/>
          <w:i/>
          <w:sz w:val="20"/>
          <w:szCs w:val="20"/>
        </w:rPr>
        <w:t>arketing, Markemétron</w:t>
      </w:r>
    </w:p>
    <w:p w14:paraId="5C9DB80E" w14:textId="71B06571" w:rsidR="008E3483" w:rsidRPr="00AA20D3" w:rsidRDefault="008E3483" w:rsidP="008E3483">
      <w:pPr>
        <w:spacing w:after="120" w:line="360" w:lineRule="auto"/>
        <w:jc w:val="both"/>
        <w:rPr>
          <w:rFonts w:ascii="Arial" w:hAnsi="Arial" w:cs="Arial"/>
        </w:rPr>
      </w:pPr>
      <w:r w:rsidRPr="008F200B">
        <w:rPr>
          <w:rFonts w:ascii="Arial" w:hAnsi="Arial" w:cs="Arial"/>
        </w:rPr>
        <w:t>En 2023, les ventes des promoteurs s’effondrent dans toutes les régions (cf. carte 2a). Seule la Normandie (-7,2 %) limite la casse.</w:t>
      </w:r>
    </w:p>
    <w:p w14:paraId="64C14544" w14:textId="04CBF747" w:rsidR="00EF2D2E" w:rsidRPr="00491D0A" w:rsidRDefault="00EF2D2E" w:rsidP="0000025A">
      <w:pPr>
        <w:spacing w:after="0" w:line="360" w:lineRule="auto"/>
        <w:jc w:val="center"/>
        <w:rPr>
          <w:rFonts w:ascii="Arial" w:hAnsi="Arial" w:cs="Arial"/>
          <w:b/>
          <w:color w:val="000000" w:themeColor="text1"/>
        </w:rPr>
      </w:pPr>
      <w:r w:rsidRPr="00491D0A">
        <w:rPr>
          <w:rFonts w:ascii="Arial" w:hAnsi="Arial" w:cs="Arial"/>
          <w:color w:val="000000" w:themeColor="text1"/>
        </w:rPr>
        <w:t xml:space="preserve">Cartes </w:t>
      </w:r>
      <w:r w:rsidR="000E0E41">
        <w:rPr>
          <w:rFonts w:ascii="Arial" w:hAnsi="Arial" w:cs="Arial"/>
          <w:color w:val="000000" w:themeColor="text1"/>
        </w:rPr>
        <w:t>2</w:t>
      </w:r>
      <w:r w:rsidRPr="00491D0A">
        <w:rPr>
          <w:rFonts w:ascii="Arial" w:hAnsi="Arial" w:cs="Arial"/>
          <w:color w:val="000000" w:themeColor="text1"/>
        </w:rPr>
        <w:t xml:space="preserve">a et </w:t>
      </w:r>
      <w:r w:rsidR="000E0E41">
        <w:rPr>
          <w:rFonts w:ascii="Arial" w:hAnsi="Arial" w:cs="Arial"/>
          <w:color w:val="000000" w:themeColor="text1"/>
        </w:rPr>
        <w:t>2</w:t>
      </w:r>
      <w:r w:rsidRPr="00491D0A">
        <w:rPr>
          <w:rFonts w:ascii="Arial" w:hAnsi="Arial" w:cs="Arial"/>
          <w:color w:val="000000" w:themeColor="text1"/>
        </w:rPr>
        <w:t xml:space="preserve">b – </w:t>
      </w:r>
      <w:r w:rsidRPr="00491D0A">
        <w:rPr>
          <w:rFonts w:ascii="Arial" w:hAnsi="Arial" w:cs="Arial"/>
          <w:b/>
          <w:color w:val="000000" w:themeColor="text1"/>
        </w:rPr>
        <w:t>Évolutions</w:t>
      </w:r>
      <w:r w:rsidR="005F0FF7" w:rsidRPr="00491D0A">
        <w:rPr>
          <w:rFonts w:ascii="Arial" w:hAnsi="Arial" w:cs="Arial"/>
          <w:b/>
          <w:color w:val="000000" w:themeColor="text1"/>
        </w:rPr>
        <w:t xml:space="preserve"> régionales</w:t>
      </w:r>
      <w:r w:rsidRPr="00491D0A">
        <w:rPr>
          <w:rFonts w:ascii="Arial" w:hAnsi="Arial" w:cs="Arial"/>
          <w:b/>
          <w:color w:val="000000" w:themeColor="text1"/>
        </w:rPr>
        <w:t xml:space="preserve"> </w:t>
      </w:r>
      <w:r w:rsidRPr="00491D0A">
        <w:rPr>
          <w:rFonts w:ascii="Arial" w:hAnsi="Arial" w:cs="Arial"/>
          <w:color w:val="000000" w:themeColor="text1"/>
        </w:rPr>
        <w:t>(en</w:t>
      </w:r>
      <w:r w:rsidR="007B3816">
        <w:rPr>
          <w:rFonts w:ascii="Arial" w:hAnsi="Arial" w:cs="Arial"/>
          <w:color w:val="000000" w:themeColor="text1"/>
        </w:rPr>
        <w:t> %</w:t>
      </w:r>
      <w:r w:rsidRPr="00491D0A">
        <w:rPr>
          <w:rFonts w:ascii="Arial" w:hAnsi="Arial" w:cs="Arial"/>
          <w:color w:val="000000" w:themeColor="text1"/>
        </w:rPr>
        <w:t>)</w:t>
      </w:r>
      <w:r w:rsidR="005F0FF7" w:rsidRPr="00491D0A">
        <w:rPr>
          <w:rFonts w:ascii="Arial" w:hAnsi="Arial" w:cs="Arial"/>
          <w:b/>
          <w:color w:val="000000" w:themeColor="text1"/>
        </w:rPr>
        <w:t xml:space="preserve"> des ventes de logements neufs</w:t>
      </w:r>
    </w:p>
    <w:p w14:paraId="29EAD8C6" w14:textId="40E41227" w:rsidR="00EF2D2E" w:rsidRPr="00572BF9" w:rsidRDefault="00D45330" w:rsidP="003332FC">
      <w:pPr>
        <w:pBdr>
          <w:top w:val="single" w:sz="4" w:space="1" w:color="auto"/>
          <w:left w:val="single" w:sz="4" w:space="4" w:color="auto"/>
          <w:bottom w:val="single" w:sz="4" w:space="1" w:color="auto"/>
          <w:right w:val="single" w:sz="4" w:space="4" w:color="auto"/>
        </w:pBdr>
        <w:spacing w:after="60" w:line="240" w:lineRule="auto"/>
        <w:jc w:val="center"/>
        <w:rPr>
          <w:rFonts w:ascii="Arial" w:hAnsi="Arial" w:cs="Arial"/>
        </w:rPr>
      </w:pPr>
      <w:r>
        <w:rPr>
          <w:rFonts w:ascii="Arial" w:hAnsi="Arial" w:cs="Arial"/>
          <w:noProof/>
        </w:rPr>
        <w:drawing>
          <wp:inline distT="0" distB="0" distL="0" distR="0" wp14:anchorId="0899271B" wp14:editId="448E221F">
            <wp:extent cx="5760720" cy="2529840"/>
            <wp:effectExtent l="0" t="0" r="0" b="3810"/>
            <wp:docPr id="86376365" name="Image 2"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6365" name="Image 2" descr="Une image contenant texte, carte&#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5760720" cy="2529840"/>
                    </a:xfrm>
                    <a:prstGeom prst="rect">
                      <a:avLst/>
                    </a:prstGeom>
                  </pic:spPr>
                </pic:pic>
              </a:graphicData>
            </a:graphic>
          </wp:inline>
        </w:drawing>
      </w:r>
    </w:p>
    <w:p w14:paraId="318AF6F4" w14:textId="362BB472" w:rsidR="00EF2D2E" w:rsidRPr="00233A34" w:rsidRDefault="00EF2D2E" w:rsidP="008B2763">
      <w:pPr>
        <w:spacing w:after="120" w:line="360" w:lineRule="auto"/>
        <w:jc w:val="center"/>
        <w:rPr>
          <w:rFonts w:ascii="Arial" w:hAnsi="Arial" w:cs="Arial"/>
          <w:i/>
          <w:sz w:val="20"/>
          <w:szCs w:val="20"/>
        </w:rPr>
      </w:pPr>
      <w:r w:rsidRPr="00233A34">
        <w:rPr>
          <w:rFonts w:ascii="Arial" w:hAnsi="Arial" w:cs="Arial"/>
          <w:i/>
          <w:sz w:val="20"/>
          <w:szCs w:val="20"/>
        </w:rPr>
        <w:t>Source :</w:t>
      </w:r>
      <w:r w:rsidR="00A52309">
        <w:rPr>
          <w:rFonts w:ascii="Arial" w:hAnsi="Arial" w:cs="Arial"/>
          <w:i/>
          <w:sz w:val="20"/>
          <w:szCs w:val="20"/>
        </w:rPr>
        <w:t xml:space="preserve"> </w:t>
      </w:r>
      <w:r w:rsidR="0000265A" w:rsidRPr="00233A34">
        <w:rPr>
          <w:rFonts w:ascii="Arial" w:hAnsi="Arial" w:cs="Arial"/>
          <w:i/>
          <w:sz w:val="20"/>
          <w:szCs w:val="20"/>
        </w:rPr>
        <w:t>MT</w:t>
      </w:r>
      <w:r w:rsidR="0000265A">
        <w:rPr>
          <w:rFonts w:ascii="Arial" w:hAnsi="Arial" w:cs="Arial"/>
          <w:i/>
          <w:sz w:val="20"/>
          <w:szCs w:val="20"/>
        </w:rPr>
        <w:t>E</w:t>
      </w:r>
      <w:r w:rsidR="008A6D56">
        <w:rPr>
          <w:rFonts w:ascii="Arial" w:hAnsi="Arial" w:cs="Arial"/>
          <w:i/>
          <w:sz w:val="20"/>
          <w:szCs w:val="20"/>
        </w:rPr>
        <w:t>CT</w:t>
      </w:r>
      <w:r w:rsidR="0000265A">
        <w:rPr>
          <w:rFonts w:ascii="Arial" w:hAnsi="Arial" w:cs="Arial"/>
          <w:i/>
          <w:sz w:val="20"/>
          <w:szCs w:val="20"/>
        </w:rPr>
        <w:t>/CGDD/</w:t>
      </w:r>
      <w:r w:rsidR="0000265A" w:rsidRPr="00233A34">
        <w:rPr>
          <w:rFonts w:ascii="Arial" w:hAnsi="Arial" w:cs="Arial"/>
          <w:i/>
          <w:sz w:val="20"/>
          <w:szCs w:val="20"/>
        </w:rPr>
        <w:t>SDES, ECLN</w:t>
      </w:r>
      <w:r w:rsidR="00E36915">
        <w:rPr>
          <w:rFonts w:ascii="Arial" w:hAnsi="Arial" w:cs="Arial"/>
          <w:i/>
          <w:sz w:val="20"/>
          <w:szCs w:val="20"/>
        </w:rPr>
        <w:t xml:space="preserve"> ; </w:t>
      </w:r>
      <w:r w:rsidR="005A276D">
        <w:rPr>
          <w:rFonts w:ascii="Arial" w:hAnsi="Arial" w:cs="Arial"/>
          <w:i/>
          <w:sz w:val="20"/>
          <w:szCs w:val="20"/>
        </w:rPr>
        <w:t xml:space="preserve">FFB à partir de </w:t>
      </w:r>
      <w:r w:rsidR="00E36915" w:rsidRPr="00C352DB">
        <w:rPr>
          <w:rFonts w:ascii="Arial" w:hAnsi="Arial" w:cs="Arial"/>
          <w:i/>
          <w:sz w:val="20"/>
          <w:szCs w:val="20"/>
        </w:rPr>
        <w:t xml:space="preserve">CGI </w:t>
      </w:r>
      <w:r w:rsidR="00E36915">
        <w:rPr>
          <w:rFonts w:ascii="Arial" w:hAnsi="Arial" w:cs="Arial"/>
          <w:i/>
          <w:sz w:val="20"/>
          <w:szCs w:val="20"/>
        </w:rPr>
        <w:t>B</w:t>
      </w:r>
      <w:r w:rsidR="00E36915" w:rsidRPr="00C352DB">
        <w:rPr>
          <w:rFonts w:ascii="Arial" w:hAnsi="Arial" w:cs="Arial"/>
          <w:i/>
          <w:sz w:val="20"/>
          <w:szCs w:val="20"/>
        </w:rPr>
        <w:t>âtiment</w:t>
      </w:r>
      <w:r w:rsidR="00E36915">
        <w:rPr>
          <w:rFonts w:ascii="Arial" w:hAnsi="Arial" w:cs="Arial"/>
          <w:i/>
          <w:sz w:val="20"/>
          <w:szCs w:val="20"/>
        </w:rPr>
        <w:t>/</w:t>
      </w:r>
      <w:r w:rsidR="00E36915" w:rsidRPr="00C352DB">
        <w:rPr>
          <w:rFonts w:ascii="Arial" w:hAnsi="Arial" w:cs="Arial"/>
          <w:i/>
          <w:sz w:val="20"/>
          <w:szCs w:val="20"/>
        </w:rPr>
        <w:t xml:space="preserve">Caron </w:t>
      </w:r>
      <w:r w:rsidR="00E36915">
        <w:rPr>
          <w:rFonts w:ascii="Arial" w:hAnsi="Arial" w:cs="Arial"/>
          <w:i/>
          <w:sz w:val="20"/>
          <w:szCs w:val="20"/>
        </w:rPr>
        <w:t>M</w:t>
      </w:r>
      <w:r w:rsidR="00E36915" w:rsidRPr="00C352DB">
        <w:rPr>
          <w:rFonts w:ascii="Arial" w:hAnsi="Arial" w:cs="Arial"/>
          <w:i/>
          <w:sz w:val="20"/>
          <w:szCs w:val="20"/>
        </w:rPr>
        <w:t>arketing, Markemétron</w:t>
      </w:r>
    </w:p>
    <w:p w14:paraId="345445D2" w14:textId="62075C91" w:rsidR="000D5296" w:rsidRPr="008E3483" w:rsidRDefault="000D5296" w:rsidP="000D5296">
      <w:pPr>
        <w:spacing w:after="120" w:line="360" w:lineRule="auto"/>
        <w:jc w:val="both"/>
        <w:rPr>
          <w:rFonts w:ascii="Arial" w:hAnsi="Arial" w:cs="Arial"/>
        </w:rPr>
      </w:pPr>
      <w:r w:rsidRPr="008F200B">
        <w:rPr>
          <w:rFonts w:ascii="Arial" w:hAnsi="Arial" w:cs="Arial"/>
        </w:rPr>
        <w:t xml:space="preserve">Dans l’individuel diffus, en </w:t>
      </w:r>
      <w:r w:rsidR="008E3483" w:rsidRPr="008F200B">
        <w:rPr>
          <w:rFonts w:ascii="Arial" w:hAnsi="Arial" w:cs="Arial"/>
        </w:rPr>
        <w:t>glissement annuel sur trois mois à fin janvier 2024</w:t>
      </w:r>
      <w:r w:rsidRPr="008F200B">
        <w:rPr>
          <w:rFonts w:ascii="Arial" w:hAnsi="Arial" w:cs="Arial"/>
        </w:rPr>
        <w:t>, toutes les régions participent au plongeon relevé au plan national (cf. carte 2b). L</w:t>
      </w:r>
      <w:r w:rsidR="000F3781" w:rsidRPr="008F200B">
        <w:rPr>
          <w:rFonts w:ascii="Arial" w:hAnsi="Arial" w:cs="Arial"/>
        </w:rPr>
        <w:t>a</w:t>
      </w:r>
      <w:r w:rsidRPr="008F200B">
        <w:rPr>
          <w:rFonts w:ascii="Arial" w:hAnsi="Arial" w:cs="Arial"/>
        </w:rPr>
        <w:t xml:space="preserve"> moins touchée, la Bretagne, affiche néanmoins </w:t>
      </w:r>
      <w:r w:rsidR="000F3781" w:rsidRPr="008F200B">
        <w:rPr>
          <w:rFonts w:ascii="Arial" w:hAnsi="Arial" w:cs="Arial"/>
        </w:rPr>
        <w:t>une</w:t>
      </w:r>
      <w:r w:rsidRPr="008F200B">
        <w:rPr>
          <w:rFonts w:ascii="Arial" w:hAnsi="Arial" w:cs="Arial"/>
        </w:rPr>
        <w:t xml:space="preserve"> chute </w:t>
      </w:r>
      <w:r w:rsidR="000F3781" w:rsidRPr="008F200B">
        <w:rPr>
          <w:rFonts w:ascii="Arial" w:hAnsi="Arial" w:cs="Arial"/>
        </w:rPr>
        <w:t xml:space="preserve">de </w:t>
      </w:r>
      <w:r w:rsidR="008E3483" w:rsidRPr="008F200B">
        <w:rPr>
          <w:rFonts w:ascii="Arial" w:hAnsi="Arial" w:cs="Arial"/>
        </w:rPr>
        <w:t>près de 20 %</w:t>
      </w:r>
      <w:r w:rsidRPr="008F200B">
        <w:rPr>
          <w:rFonts w:ascii="Arial" w:hAnsi="Arial" w:cs="Arial"/>
        </w:rPr>
        <w:t>.</w:t>
      </w:r>
    </w:p>
    <w:p w14:paraId="00917366" w14:textId="5C52BE10" w:rsidR="001814CF" w:rsidRDefault="00EF2D2E" w:rsidP="007F395F">
      <w:pPr>
        <w:spacing w:before="360" w:after="120" w:line="360" w:lineRule="auto"/>
        <w:rPr>
          <w:rFonts w:ascii="Arial" w:hAnsi="Arial" w:cs="Arial"/>
          <w:color w:val="000000" w:themeColor="text1"/>
        </w:rPr>
      </w:pPr>
      <w:r w:rsidRPr="00767A96">
        <w:rPr>
          <w:rFonts w:ascii="Arial" w:hAnsi="Arial" w:cs="Arial"/>
          <w:u w:val="single"/>
        </w:rPr>
        <w:lastRenderedPageBreak/>
        <w:t>2.2 Le non résidentiel neuf</w:t>
      </w:r>
      <w:r w:rsidR="00612AC2" w:rsidRPr="00767A96">
        <w:rPr>
          <w:rStyle w:val="Appelnotedebasdep"/>
          <w:rFonts w:ascii="Arial" w:hAnsi="Arial" w:cs="Arial"/>
        </w:rPr>
        <w:footnoteReference w:id="5"/>
      </w:r>
    </w:p>
    <w:p w14:paraId="2496E88F" w14:textId="0D616F38" w:rsidR="00CE1A3E" w:rsidRPr="008F200B" w:rsidRDefault="00102B80" w:rsidP="00CE1A3E">
      <w:pPr>
        <w:spacing w:after="120" w:line="360" w:lineRule="auto"/>
        <w:jc w:val="both"/>
        <w:rPr>
          <w:rFonts w:ascii="Arial" w:hAnsi="Arial" w:cs="Arial"/>
        </w:rPr>
      </w:pPr>
      <w:r w:rsidRPr="008F200B">
        <w:rPr>
          <w:rFonts w:ascii="Arial" w:hAnsi="Arial" w:cs="Arial"/>
        </w:rPr>
        <w:t>En glissement annuel sur trois mois à fin janvier 2024, les surfaces commencées perdent 11,2 % (cf. tableau 3). Seule progresse la commande publique, à +10,3</w:t>
      </w:r>
      <w:r w:rsidR="008F200B" w:rsidRPr="008F200B">
        <w:rPr>
          <w:rFonts w:ascii="Arial" w:hAnsi="Arial" w:cs="Arial"/>
        </w:rPr>
        <w:t> </w:t>
      </w:r>
      <w:r w:rsidRPr="008F200B">
        <w:rPr>
          <w:rFonts w:ascii="Arial" w:hAnsi="Arial" w:cs="Arial"/>
        </w:rPr>
        <w:t>%, les autres segments affichant des reculs compris entre -7,2</w:t>
      </w:r>
      <w:r w:rsidR="008F200B" w:rsidRPr="008F200B">
        <w:rPr>
          <w:rFonts w:ascii="Arial" w:hAnsi="Arial" w:cs="Arial"/>
        </w:rPr>
        <w:t> </w:t>
      </w:r>
      <w:r w:rsidRPr="008F200B">
        <w:rPr>
          <w:rFonts w:ascii="Arial" w:hAnsi="Arial" w:cs="Arial"/>
        </w:rPr>
        <w:t>% et -47,8</w:t>
      </w:r>
      <w:r w:rsidR="008F200B" w:rsidRPr="008F200B">
        <w:rPr>
          <w:rFonts w:ascii="Arial" w:hAnsi="Arial" w:cs="Arial"/>
        </w:rPr>
        <w:t> </w:t>
      </w:r>
      <w:r w:rsidRPr="008F200B">
        <w:rPr>
          <w:rFonts w:ascii="Arial" w:hAnsi="Arial" w:cs="Arial"/>
        </w:rPr>
        <w:t xml:space="preserve">%. </w:t>
      </w:r>
    </w:p>
    <w:p w14:paraId="51D4740C" w14:textId="3C0D27EF" w:rsidR="00150175" w:rsidRDefault="00150175" w:rsidP="00150175">
      <w:pPr>
        <w:spacing w:after="120" w:line="360" w:lineRule="auto"/>
        <w:jc w:val="both"/>
        <w:rPr>
          <w:rFonts w:ascii="Arial" w:hAnsi="Arial" w:cs="Arial"/>
        </w:rPr>
      </w:pPr>
      <w:r w:rsidRPr="008F200B">
        <w:rPr>
          <w:rFonts w:ascii="Arial" w:hAnsi="Arial" w:cs="Arial"/>
        </w:rPr>
        <w:t>Quant aux surfaces autorisées, elles chutent de 14,7</w:t>
      </w:r>
      <w:r w:rsidR="008F200B" w:rsidRPr="008F200B">
        <w:rPr>
          <w:rFonts w:ascii="Arial" w:hAnsi="Arial" w:cs="Arial"/>
        </w:rPr>
        <w:t> </w:t>
      </w:r>
      <w:r w:rsidRPr="008F200B">
        <w:rPr>
          <w:rFonts w:ascii="Arial" w:hAnsi="Arial" w:cs="Arial"/>
        </w:rPr>
        <w:t>% en cumul de novembre 2023 à janvier 2024 par rapport à la même période un an auparavant. Les bâtiments administratifs (-6,8</w:t>
      </w:r>
      <w:r w:rsidR="008F200B" w:rsidRPr="008F200B">
        <w:rPr>
          <w:rFonts w:ascii="Arial" w:hAnsi="Arial" w:cs="Arial"/>
        </w:rPr>
        <w:t> </w:t>
      </w:r>
      <w:r w:rsidRPr="008F200B">
        <w:rPr>
          <w:rFonts w:ascii="Arial" w:hAnsi="Arial" w:cs="Arial"/>
        </w:rPr>
        <w:t>%) n’échappent pas à ce mouvement baissier quasi-général, laissant craindre un feu de paille sur ce segment, malgré la position favorable dans le cycle électoral municipal.</w:t>
      </w:r>
    </w:p>
    <w:p w14:paraId="139507F7" w14:textId="09555143" w:rsidR="00BF4A51" w:rsidRDefault="00391F11" w:rsidP="002F6B84">
      <w:pPr>
        <w:spacing w:after="0" w:line="360" w:lineRule="auto"/>
        <w:jc w:val="center"/>
        <w:rPr>
          <w:rFonts w:ascii="Arial" w:hAnsi="Arial" w:cs="Arial"/>
        </w:rPr>
      </w:pPr>
      <w:r>
        <w:rPr>
          <w:rFonts w:ascii="Arial" w:hAnsi="Arial" w:cs="Arial"/>
        </w:rPr>
        <w:t>Tableau 3</w:t>
      </w:r>
      <w:r w:rsidR="00BF4A51">
        <w:rPr>
          <w:rFonts w:ascii="Arial" w:hAnsi="Arial" w:cs="Arial"/>
        </w:rPr>
        <w:t xml:space="preserve"> – </w:t>
      </w:r>
      <w:r w:rsidR="00BF4A51" w:rsidRPr="00CB20BC">
        <w:rPr>
          <w:rFonts w:ascii="Arial" w:hAnsi="Arial" w:cs="Arial"/>
          <w:b/>
        </w:rPr>
        <w:t xml:space="preserve">Évolutions </w:t>
      </w:r>
      <w:r w:rsidR="00BF4A51" w:rsidRPr="00361390">
        <w:rPr>
          <w:rFonts w:ascii="Arial" w:hAnsi="Arial" w:cs="Arial"/>
        </w:rPr>
        <w:t>(en</w:t>
      </w:r>
      <w:r w:rsidR="007B3816">
        <w:rPr>
          <w:rFonts w:ascii="Arial" w:hAnsi="Arial" w:cs="Arial"/>
        </w:rPr>
        <w:t> %</w:t>
      </w:r>
      <w:r w:rsidR="00BF4A51" w:rsidRPr="00361390">
        <w:rPr>
          <w:rFonts w:ascii="Arial" w:hAnsi="Arial" w:cs="Arial"/>
        </w:rPr>
        <w:t>, en glissement annuel)</w:t>
      </w:r>
      <w:r w:rsidR="00BF4A51">
        <w:rPr>
          <w:rFonts w:ascii="Arial" w:hAnsi="Arial" w:cs="Arial"/>
          <w:b/>
        </w:rPr>
        <w:t xml:space="preserve"> du non résidentiel neuf</w:t>
      </w:r>
      <w:r w:rsidR="00BF4A51">
        <w:rPr>
          <w:rStyle w:val="Appelnotedebasdep"/>
          <w:rFonts w:ascii="Arial" w:hAnsi="Arial" w:cs="Arial"/>
          <w:b/>
        </w:rPr>
        <w:footnoteReference w:id="6"/>
      </w:r>
    </w:p>
    <w:tbl>
      <w:tblPr>
        <w:tblStyle w:val="Grilledutableau"/>
        <w:tblW w:w="9199"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2112"/>
        <w:gridCol w:w="992"/>
        <w:gridCol w:w="992"/>
        <w:gridCol w:w="992"/>
        <w:gridCol w:w="992"/>
        <w:gridCol w:w="992"/>
        <w:gridCol w:w="1135"/>
        <w:gridCol w:w="992"/>
      </w:tblGrid>
      <w:tr w:rsidR="00410185" w14:paraId="10C1BB15" w14:textId="77777777" w:rsidTr="00D7242D">
        <w:tc>
          <w:tcPr>
            <w:tcW w:w="2112" w:type="dxa"/>
            <w:tcBorders>
              <w:bottom w:val="single" w:sz="2" w:space="0" w:color="000000" w:themeColor="text1"/>
            </w:tcBorders>
          </w:tcPr>
          <w:p w14:paraId="6EBFE1C6" w14:textId="77777777" w:rsidR="00410185" w:rsidRDefault="00410185" w:rsidP="00D7242D">
            <w:pPr>
              <w:jc w:val="both"/>
              <w:rPr>
                <w:rFonts w:ascii="Arial" w:hAnsi="Arial" w:cs="Arial"/>
              </w:rPr>
            </w:pPr>
          </w:p>
        </w:tc>
        <w:tc>
          <w:tcPr>
            <w:tcW w:w="992" w:type="dxa"/>
            <w:tcBorders>
              <w:bottom w:val="single" w:sz="2" w:space="0" w:color="000000" w:themeColor="text1"/>
            </w:tcBorders>
          </w:tcPr>
          <w:p w14:paraId="52454996" w14:textId="77777777" w:rsidR="00410185" w:rsidRDefault="00410185" w:rsidP="00D7242D">
            <w:pPr>
              <w:jc w:val="center"/>
              <w:rPr>
                <w:rFonts w:ascii="Arial" w:hAnsi="Arial" w:cs="Arial"/>
              </w:rPr>
            </w:pPr>
            <w:r w:rsidRPr="4FF09C5F">
              <w:rPr>
                <w:rFonts w:ascii="Arial" w:hAnsi="Arial" w:cs="Arial"/>
              </w:rPr>
              <w:t>Hôtels</w:t>
            </w:r>
          </w:p>
        </w:tc>
        <w:tc>
          <w:tcPr>
            <w:tcW w:w="992" w:type="dxa"/>
            <w:tcBorders>
              <w:bottom w:val="single" w:sz="2" w:space="0" w:color="000000" w:themeColor="text1"/>
            </w:tcBorders>
          </w:tcPr>
          <w:p w14:paraId="4724E59F" w14:textId="77777777" w:rsidR="00410185" w:rsidRDefault="00410185" w:rsidP="00D7242D">
            <w:pPr>
              <w:jc w:val="center"/>
              <w:rPr>
                <w:rFonts w:ascii="Arial" w:hAnsi="Arial" w:cs="Arial"/>
              </w:rPr>
            </w:pPr>
            <w:r w:rsidRPr="4FF09C5F">
              <w:rPr>
                <w:rFonts w:ascii="Arial" w:hAnsi="Arial" w:cs="Arial"/>
              </w:rPr>
              <w:t xml:space="preserve">Locaux </w:t>
            </w:r>
            <w:proofErr w:type="spellStart"/>
            <w:r w:rsidRPr="4FF09C5F">
              <w:rPr>
                <w:rFonts w:ascii="Arial" w:hAnsi="Arial" w:cs="Arial"/>
              </w:rPr>
              <w:t>agri-coles</w:t>
            </w:r>
            <w:proofErr w:type="spellEnd"/>
          </w:p>
        </w:tc>
        <w:tc>
          <w:tcPr>
            <w:tcW w:w="992" w:type="dxa"/>
            <w:tcBorders>
              <w:bottom w:val="single" w:sz="2" w:space="0" w:color="000000" w:themeColor="text1"/>
            </w:tcBorders>
          </w:tcPr>
          <w:p w14:paraId="6D89CE57" w14:textId="77777777" w:rsidR="00410185" w:rsidRDefault="00410185" w:rsidP="00D7242D">
            <w:pPr>
              <w:jc w:val="center"/>
              <w:rPr>
                <w:rFonts w:ascii="Arial" w:hAnsi="Arial" w:cs="Arial"/>
              </w:rPr>
            </w:pPr>
            <w:r w:rsidRPr="4FF09C5F">
              <w:rPr>
                <w:rFonts w:ascii="Arial" w:hAnsi="Arial" w:cs="Arial"/>
              </w:rPr>
              <w:t xml:space="preserve">Locaux </w:t>
            </w:r>
            <w:proofErr w:type="spellStart"/>
            <w:r w:rsidRPr="4FF09C5F">
              <w:rPr>
                <w:rFonts w:ascii="Arial" w:hAnsi="Arial" w:cs="Arial"/>
              </w:rPr>
              <w:t>indus-triels</w:t>
            </w:r>
            <w:proofErr w:type="spellEnd"/>
          </w:p>
        </w:tc>
        <w:tc>
          <w:tcPr>
            <w:tcW w:w="992" w:type="dxa"/>
            <w:tcBorders>
              <w:bottom w:val="single" w:sz="2" w:space="0" w:color="000000" w:themeColor="text1"/>
            </w:tcBorders>
          </w:tcPr>
          <w:p w14:paraId="5ABDC7AE" w14:textId="77777777" w:rsidR="00410185" w:rsidRDefault="00410185" w:rsidP="00D7242D">
            <w:pPr>
              <w:jc w:val="center"/>
              <w:rPr>
                <w:rFonts w:ascii="Arial" w:hAnsi="Arial" w:cs="Arial"/>
              </w:rPr>
            </w:pPr>
            <w:proofErr w:type="spellStart"/>
            <w:r w:rsidRPr="4FF09C5F">
              <w:rPr>
                <w:rFonts w:ascii="Arial" w:hAnsi="Arial" w:cs="Arial"/>
              </w:rPr>
              <w:t>Bu-reaux</w:t>
            </w:r>
            <w:proofErr w:type="spellEnd"/>
          </w:p>
        </w:tc>
        <w:tc>
          <w:tcPr>
            <w:tcW w:w="992" w:type="dxa"/>
            <w:tcBorders>
              <w:bottom w:val="single" w:sz="2" w:space="0" w:color="000000" w:themeColor="text1"/>
            </w:tcBorders>
          </w:tcPr>
          <w:p w14:paraId="3DA24397" w14:textId="77777777" w:rsidR="00410185" w:rsidRDefault="00410185" w:rsidP="00D7242D">
            <w:pPr>
              <w:jc w:val="center"/>
              <w:rPr>
                <w:rFonts w:ascii="Arial" w:hAnsi="Arial" w:cs="Arial"/>
              </w:rPr>
            </w:pPr>
            <w:proofErr w:type="spellStart"/>
            <w:r w:rsidRPr="4FF09C5F">
              <w:rPr>
                <w:rFonts w:ascii="Arial" w:hAnsi="Arial" w:cs="Arial"/>
              </w:rPr>
              <w:t>Com-merces</w:t>
            </w:r>
            <w:proofErr w:type="spellEnd"/>
          </w:p>
        </w:tc>
        <w:tc>
          <w:tcPr>
            <w:tcW w:w="1135" w:type="dxa"/>
            <w:tcBorders>
              <w:bottom w:val="single" w:sz="2" w:space="0" w:color="000000" w:themeColor="text1"/>
            </w:tcBorders>
          </w:tcPr>
          <w:p w14:paraId="1507C87B" w14:textId="77777777" w:rsidR="00410185" w:rsidRDefault="00410185" w:rsidP="00D7242D">
            <w:pPr>
              <w:jc w:val="center"/>
              <w:rPr>
                <w:rFonts w:ascii="Arial" w:hAnsi="Arial" w:cs="Arial"/>
              </w:rPr>
            </w:pPr>
            <w:r w:rsidRPr="4FF09C5F">
              <w:rPr>
                <w:rFonts w:ascii="Arial" w:hAnsi="Arial" w:cs="Arial"/>
              </w:rPr>
              <w:t xml:space="preserve">Locaux </w:t>
            </w:r>
            <w:proofErr w:type="spellStart"/>
            <w:r w:rsidRPr="4FF09C5F">
              <w:rPr>
                <w:rFonts w:ascii="Arial" w:hAnsi="Arial" w:cs="Arial"/>
              </w:rPr>
              <w:t>adminis-tratifs</w:t>
            </w:r>
            <w:proofErr w:type="spellEnd"/>
          </w:p>
        </w:tc>
        <w:tc>
          <w:tcPr>
            <w:tcW w:w="992" w:type="dxa"/>
            <w:tcBorders>
              <w:bottom w:val="single" w:sz="2" w:space="0" w:color="000000" w:themeColor="text1"/>
            </w:tcBorders>
          </w:tcPr>
          <w:p w14:paraId="66A2DB3E" w14:textId="77777777" w:rsidR="00410185" w:rsidRPr="00B75464" w:rsidRDefault="00410185" w:rsidP="00D7242D">
            <w:pPr>
              <w:jc w:val="center"/>
              <w:rPr>
                <w:rFonts w:ascii="Arial" w:hAnsi="Arial" w:cs="Arial"/>
              </w:rPr>
            </w:pPr>
            <w:r w:rsidRPr="4FF09C5F">
              <w:rPr>
                <w:rFonts w:ascii="Arial" w:hAnsi="Arial" w:cs="Arial"/>
              </w:rPr>
              <w:t>Total</w:t>
            </w:r>
          </w:p>
        </w:tc>
      </w:tr>
      <w:tr w:rsidR="00410185" w14:paraId="010DA4A3" w14:textId="77777777" w:rsidTr="00D7242D">
        <w:tc>
          <w:tcPr>
            <w:tcW w:w="9199" w:type="dxa"/>
            <w:gridSpan w:val="8"/>
            <w:tcBorders>
              <w:top w:val="single" w:sz="2" w:space="0" w:color="000000" w:themeColor="text1"/>
              <w:bottom w:val="single" w:sz="2" w:space="0" w:color="000000" w:themeColor="text1"/>
            </w:tcBorders>
          </w:tcPr>
          <w:p w14:paraId="7332DB22" w14:textId="77777777" w:rsidR="00410185" w:rsidRPr="0093375D" w:rsidRDefault="00410185" w:rsidP="00D7242D">
            <w:pPr>
              <w:jc w:val="center"/>
              <w:rPr>
                <w:rFonts w:ascii="Arial" w:hAnsi="Arial" w:cs="Arial"/>
              </w:rPr>
            </w:pPr>
          </w:p>
        </w:tc>
      </w:tr>
      <w:tr w:rsidR="00410185" w14:paraId="3A78CFA2" w14:textId="77777777" w:rsidTr="00D7242D">
        <w:tc>
          <w:tcPr>
            <w:tcW w:w="9199" w:type="dxa"/>
            <w:gridSpan w:val="8"/>
            <w:tcBorders>
              <w:top w:val="single" w:sz="4" w:space="0" w:color="000000" w:themeColor="text1"/>
              <w:bottom w:val="single" w:sz="2" w:space="0" w:color="000000" w:themeColor="text1"/>
            </w:tcBorders>
          </w:tcPr>
          <w:p w14:paraId="0371A94E" w14:textId="77777777" w:rsidR="00410185" w:rsidRPr="00CC60E5" w:rsidRDefault="00410185" w:rsidP="00D7242D">
            <w:pPr>
              <w:jc w:val="center"/>
              <w:rPr>
                <w:rFonts w:ascii="Arial" w:hAnsi="Arial" w:cs="Arial"/>
                <w:b/>
                <w:bCs/>
              </w:rPr>
            </w:pPr>
            <w:r w:rsidRPr="00CC60E5">
              <w:rPr>
                <w:rFonts w:ascii="Arial" w:hAnsi="Arial" w:cs="Arial"/>
                <w:b/>
                <w:bCs/>
                <w:i/>
                <w:iCs/>
              </w:rPr>
              <w:t>Sur trois mois (nov. 202</w:t>
            </w:r>
            <w:r>
              <w:rPr>
                <w:rFonts w:ascii="Arial" w:hAnsi="Arial" w:cs="Arial"/>
                <w:b/>
                <w:bCs/>
                <w:i/>
                <w:iCs/>
              </w:rPr>
              <w:t>3</w:t>
            </w:r>
            <w:r w:rsidRPr="00CC60E5">
              <w:rPr>
                <w:rFonts w:ascii="Arial" w:hAnsi="Arial" w:cs="Arial"/>
                <w:b/>
                <w:bCs/>
                <w:i/>
                <w:iCs/>
              </w:rPr>
              <w:t xml:space="preserve"> → jan. 202</w:t>
            </w:r>
            <w:r>
              <w:rPr>
                <w:rFonts w:ascii="Arial" w:hAnsi="Arial" w:cs="Arial"/>
                <w:b/>
                <w:bCs/>
                <w:i/>
                <w:iCs/>
              </w:rPr>
              <w:t>4</w:t>
            </w:r>
            <w:r w:rsidRPr="00CC60E5">
              <w:rPr>
                <w:rFonts w:ascii="Arial" w:hAnsi="Arial" w:cs="Arial"/>
                <w:b/>
                <w:bCs/>
                <w:i/>
                <w:iCs/>
              </w:rPr>
              <w:t xml:space="preserve"> / nov. 202</w:t>
            </w:r>
            <w:r>
              <w:rPr>
                <w:rFonts w:ascii="Arial" w:hAnsi="Arial" w:cs="Arial"/>
                <w:b/>
                <w:bCs/>
                <w:i/>
                <w:iCs/>
              </w:rPr>
              <w:t>2</w:t>
            </w:r>
            <w:r w:rsidRPr="00CC60E5">
              <w:rPr>
                <w:rFonts w:ascii="Arial" w:hAnsi="Arial" w:cs="Arial"/>
                <w:b/>
                <w:bCs/>
                <w:i/>
                <w:iCs/>
              </w:rPr>
              <w:t xml:space="preserve"> → jan. 202</w:t>
            </w:r>
            <w:r>
              <w:rPr>
                <w:rFonts w:ascii="Arial" w:hAnsi="Arial" w:cs="Arial"/>
                <w:b/>
                <w:bCs/>
                <w:i/>
                <w:iCs/>
              </w:rPr>
              <w:t>3</w:t>
            </w:r>
            <w:r w:rsidRPr="00CC60E5">
              <w:rPr>
                <w:rFonts w:ascii="Arial" w:hAnsi="Arial" w:cs="Arial"/>
                <w:b/>
                <w:bCs/>
                <w:i/>
                <w:iCs/>
              </w:rPr>
              <w:t>)</w:t>
            </w:r>
          </w:p>
        </w:tc>
      </w:tr>
      <w:tr w:rsidR="00410185" w14:paraId="2AEAB96D" w14:textId="77777777" w:rsidTr="00D7242D">
        <w:tc>
          <w:tcPr>
            <w:tcW w:w="2112" w:type="dxa"/>
            <w:tcBorders>
              <w:top w:val="dashSmallGap" w:sz="4" w:space="0" w:color="000000" w:themeColor="text1"/>
              <w:bottom w:val="single" w:sz="2" w:space="0" w:color="000000" w:themeColor="text1"/>
            </w:tcBorders>
          </w:tcPr>
          <w:p w14:paraId="47C244F6" w14:textId="77777777" w:rsidR="00410185" w:rsidRPr="00CC60E5" w:rsidRDefault="00410185" w:rsidP="00D7242D">
            <w:pPr>
              <w:jc w:val="both"/>
              <w:rPr>
                <w:rFonts w:ascii="Arial" w:hAnsi="Arial" w:cs="Arial"/>
                <w:b/>
                <w:bCs/>
              </w:rPr>
            </w:pPr>
            <w:r w:rsidRPr="00CC60E5">
              <w:rPr>
                <w:rFonts w:ascii="Arial" w:hAnsi="Arial" w:cs="Arial"/>
                <w:b/>
                <w:bCs/>
              </w:rPr>
              <w:t>Autorisations</w:t>
            </w:r>
          </w:p>
        </w:tc>
        <w:tc>
          <w:tcPr>
            <w:tcW w:w="992" w:type="dxa"/>
            <w:tcBorders>
              <w:top w:val="dashSmallGap" w:sz="4" w:space="0" w:color="000000" w:themeColor="text1"/>
              <w:bottom w:val="single" w:sz="2" w:space="0" w:color="000000" w:themeColor="text1"/>
            </w:tcBorders>
          </w:tcPr>
          <w:p w14:paraId="02DC7A6C" w14:textId="77777777" w:rsidR="00410185" w:rsidRPr="00CC60E5" w:rsidRDefault="00410185" w:rsidP="00D7242D">
            <w:pPr>
              <w:jc w:val="center"/>
              <w:rPr>
                <w:rFonts w:ascii="Arial" w:hAnsi="Arial" w:cs="Arial"/>
                <w:b/>
                <w:bCs/>
              </w:rPr>
            </w:pPr>
            <w:r>
              <w:rPr>
                <w:rFonts w:ascii="Arial" w:hAnsi="Arial" w:cs="Arial"/>
                <w:b/>
                <w:bCs/>
              </w:rPr>
              <w:t>-30,5 %</w:t>
            </w:r>
          </w:p>
        </w:tc>
        <w:tc>
          <w:tcPr>
            <w:tcW w:w="992" w:type="dxa"/>
            <w:tcBorders>
              <w:top w:val="dashSmallGap" w:sz="4" w:space="0" w:color="000000" w:themeColor="text1"/>
              <w:bottom w:val="single" w:sz="2" w:space="0" w:color="000000" w:themeColor="text1"/>
            </w:tcBorders>
          </w:tcPr>
          <w:p w14:paraId="5F5127AC" w14:textId="77777777" w:rsidR="00410185" w:rsidRPr="00CC60E5" w:rsidRDefault="00410185" w:rsidP="00D7242D">
            <w:pPr>
              <w:jc w:val="center"/>
              <w:rPr>
                <w:rFonts w:ascii="Arial" w:hAnsi="Arial" w:cs="Arial"/>
                <w:b/>
                <w:bCs/>
              </w:rPr>
            </w:pPr>
            <w:r>
              <w:rPr>
                <w:rFonts w:ascii="Arial" w:hAnsi="Arial" w:cs="Arial"/>
                <w:b/>
                <w:bCs/>
              </w:rPr>
              <w:t>-17,7 %</w:t>
            </w:r>
          </w:p>
        </w:tc>
        <w:tc>
          <w:tcPr>
            <w:tcW w:w="992" w:type="dxa"/>
            <w:tcBorders>
              <w:top w:val="dashSmallGap" w:sz="4" w:space="0" w:color="000000" w:themeColor="text1"/>
              <w:bottom w:val="single" w:sz="2" w:space="0" w:color="000000" w:themeColor="text1"/>
            </w:tcBorders>
          </w:tcPr>
          <w:p w14:paraId="476BD24B" w14:textId="77777777" w:rsidR="00410185" w:rsidRPr="00CC60E5" w:rsidRDefault="00410185" w:rsidP="00D7242D">
            <w:pPr>
              <w:jc w:val="center"/>
              <w:rPr>
                <w:rFonts w:ascii="Arial" w:hAnsi="Arial" w:cs="Arial"/>
                <w:b/>
                <w:bCs/>
              </w:rPr>
            </w:pPr>
            <w:r>
              <w:rPr>
                <w:rFonts w:ascii="Arial" w:hAnsi="Arial" w:cs="Arial"/>
                <w:b/>
                <w:bCs/>
              </w:rPr>
              <w:t>-15,8 %</w:t>
            </w:r>
          </w:p>
        </w:tc>
        <w:tc>
          <w:tcPr>
            <w:tcW w:w="992" w:type="dxa"/>
            <w:tcBorders>
              <w:top w:val="dashSmallGap" w:sz="4" w:space="0" w:color="000000" w:themeColor="text1"/>
              <w:bottom w:val="single" w:sz="2" w:space="0" w:color="000000" w:themeColor="text1"/>
            </w:tcBorders>
          </w:tcPr>
          <w:p w14:paraId="0E6F6BCE" w14:textId="77777777" w:rsidR="00410185" w:rsidRPr="00CC60E5" w:rsidRDefault="00410185" w:rsidP="00D7242D">
            <w:pPr>
              <w:jc w:val="center"/>
              <w:rPr>
                <w:rFonts w:ascii="Arial" w:hAnsi="Arial" w:cs="Arial"/>
                <w:b/>
                <w:bCs/>
              </w:rPr>
            </w:pPr>
            <w:r>
              <w:rPr>
                <w:rFonts w:ascii="Arial" w:hAnsi="Arial" w:cs="Arial"/>
                <w:b/>
                <w:bCs/>
              </w:rPr>
              <w:t>-25,5 %</w:t>
            </w:r>
          </w:p>
        </w:tc>
        <w:tc>
          <w:tcPr>
            <w:tcW w:w="992" w:type="dxa"/>
            <w:tcBorders>
              <w:top w:val="dashSmallGap" w:sz="4" w:space="0" w:color="000000" w:themeColor="text1"/>
              <w:bottom w:val="single" w:sz="2" w:space="0" w:color="000000" w:themeColor="text1"/>
            </w:tcBorders>
          </w:tcPr>
          <w:p w14:paraId="6387682B" w14:textId="77777777" w:rsidR="00410185" w:rsidRPr="00CC60E5" w:rsidRDefault="00410185" w:rsidP="00D7242D">
            <w:pPr>
              <w:jc w:val="center"/>
              <w:rPr>
                <w:rFonts w:ascii="Arial" w:hAnsi="Arial" w:cs="Arial"/>
                <w:b/>
                <w:bCs/>
              </w:rPr>
            </w:pPr>
            <w:r>
              <w:rPr>
                <w:rFonts w:ascii="Arial" w:hAnsi="Arial" w:cs="Arial"/>
                <w:b/>
                <w:bCs/>
              </w:rPr>
              <w:t>+1,2 %</w:t>
            </w:r>
          </w:p>
        </w:tc>
        <w:tc>
          <w:tcPr>
            <w:tcW w:w="1135" w:type="dxa"/>
            <w:tcBorders>
              <w:top w:val="dashSmallGap" w:sz="4" w:space="0" w:color="000000" w:themeColor="text1"/>
              <w:bottom w:val="single" w:sz="2" w:space="0" w:color="000000" w:themeColor="text1"/>
            </w:tcBorders>
          </w:tcPr>
          <w:p w14:paraId="5CB42B83" w14:textId="77777777" w:rsidR="00410185" w:rsidRPr="00CC60E5" w:rsidRDefault="00410185" w:rsidP="00D7242D">
            <w:pPr>
              <w:jc w:val="center"/>
              <w:rPr>
                <w:rFonts w:ascii="Arial" w:hAnsi="Arial" w:cs="Arial"/>
                <w:b/>
                <w:bCs/>
              </w:rPr>
            </w:pPr>
            <w:r>
              <w:rPr>
                <w:rFonts w:ascii="Arial" w:hAnsi="Arial" w:cs="Arial"/>
                <w:b/>
                <w:bCs/>
              </w:rPr>
              <w:t>-6,8 %</w:t>
            </w:r>
          </w:p>
        </w:tc>
        <w:tc>
          <w:tcPr>
            <w:tcW w:w="992" w:type="dxa"/>
            <w:tcBorders>
              <w:top w:val="dashSmallGap" w:sz="4" w:space="0" w:color="000000" w:themeColor="text1"/>
              <w:bottom w:val="single" w:sz="2" w:space="0" w:color="000000" w:themeColor="text1"/>
            </w:tcBorders>
          </w:tcPr>
          <w:p w14:paraId="06F61E07" w14:textId="77777777" w:rsidR="00410185" w:rsidRPr="00CC60E5" w:rsidRDefault="00410185" w:rsidP="00D7242D">
            <w:pPr>
              <w:jc w:val="center"/>
              <w:rPr>
                <w:rFonts w:ascii="Arial" w:hAnsi="Arial" w:cs="Arial"/>
                <w:b/>
                <w:bCs/>
              </w:rPr>
            </w:pPr>
            <w:r>
              <w:rPr>
                <w:rFonts w:ascii="Arial" w:hAnsi="Arial" w:cs="Arial"/>
                <w:b/>
                <w:bCs/>
              </w:rPr>
              <w:t>-14,7 %</w:t>
            </w:r>
          </w:p>
        </w:tc>
      </w:tr>
      <w:tr w:rsidR="00410185" w14:paraId="3E0C38AF" w14:textId="77777777" w:rsidTr="00D7242D">
        <w:tc>
          <w:tcPr>
            <w:tcW w:w="2112" w:type="dxa"/>
            <w:tcBorders>
              <w:top w:val="dashSmallGap" w:sz="4" w:space="0" w:color="000000" w:themeColor="text1"/>
              <w:bottom w:val="single" w:sz="2" w:space="0" w:color="000000" w:themeColor="text1"/>
            </w:tcBorders>
          </w:tcPr>
          <w:p w14:paraId="09D85DFF" w14:textId="77777777" w:rsidR="00410185" w:rsidRPr="00CC60E5" w:rsidRDefault="00410185" w:rsidP="00D7242D">
            <w:pPr>
              <w:jc w:val="both"/>
              <w:rPr>
                <w:rFonts w:ascii="Arial" w:hAnsi="Arial" w:cs="Arial"/>
                <w:b/>
                <w:bCs/>
              </w:rPr>
            </w:pPr>
            <w:r w:rsidRPr="00CC60E5">
              <w:rPr>
                <w:rFonts w:ascii="Arial" w:hAnsi="Arial" w:cs="Arial"/>
                <w:b/>
                <w:bCs/>
              </w:rPr>
              <w:t>Mises en chantier</w:t>
            </w:r>
          </w:p>
        </w:tc>
        <w:tc>
          <w:tcPr>
            <w:tcW w:w="992" w:type="dxa"/>
            <w:tcBorders>
              <w:top w:val="dashSmallGap" w:sz="4" w:space="0" w:color="000000" w:themeColor="text1"/>
              <w:bottom w:val="single" w:sz="2" w:space="0" w:color="000000" w:themeColor="text1"/>
            </w:tcBorders>
          </w:tcPr>
          <w:p w14:paraId="4C9AB97B" w14:textId="77777777" w:rsidR="00410185" w:rsidRPr="00CC60E5" w:rsidRDefault="00410185" w:rsidP="00D7242D">
            <w:pPr>
              <w:jc w:val="center"/>
              <w:rPr>
                <w:rFonts w:ascii="Arial" w:hAnsi="Arial" w:cs="Arial"/>
                <w:b/>
                <w:bCs/>
              </w:rPr>
            </w:pPr>
            <w:r>
              <w:rPr>
                <w:rFonts w:ascii="Arial" w:hAnsi="Arial" w:cs="Arial"/>
                <w:b/>
                <w:bCs/>
              </w:rPr>
              <w:t>-47,8 %</w:t>
            </w:r>
          </w:p>
        </w:tc>
        <w:tc>
          <w:tcPr>
            <w:tcW w:w="992" w:type="dxa"/>
            <w:tcBorders>
              <w:top w:val="dashSmallGap" w:sz="4" w:space="0" w:color="000000" w:themeColor="text1"/>
              <w:bottom w:val="single" w:sz="2" w:space="0" w:color="000000" w:themeColor="text1"/>
            </w:tcBorders>
          </w:tcPr>
          <w:p w14:paraId="66CA8636" w14:textId="77777777" w:rsidR="00410185" w:rsidRPr="00CC60E5" w:rsidRDefault="00410185" w:rsidP="00D7242D">
            <w:pPr>
              <w:jc w:val="center"/>
              <w:rPr>
                <w:rFonts w:ascii="Arial" w:hAnsi="Arial" w:cs="Arial"/>
                <w:b/>
                <w:bCs/>
              </w:rPr>
            </w:pPr>
            <w:r>
              <w:rPr>
                <w:rFonts w:ascii="Arial" w:hAnsi="Arial" w:cs="Arial"/>
                <w:b/>
                <w:bCs/>
              </w:rPr>
              <w:t>-23,7 %</w:t>
            </w:r>
          </w:p>
        </w:tc>
        <w:tc>
          <w:tcPr>
            <w:tcW w:w="992" w:type="dxa"/>
            <w:tcBorders>
              <w:top w:val="dashSmallGap" w:sz="4" w:space="0" w:color="000000" w:themeColor="text1"/>
              <w:bottom w:val="single" w:sz="2" w:space="0" w:color="000000" w:themeColor="text1"/>
            </w:tcBorders>
          </w:tcPr>
          <w:p w14:paraId="028BC05B" w14:textId="77777777" w:rsidR="00410185" w:rsidRPr="00CC60E5" w:rsidRDefault="00410185" w:rsidP="00D7242D">
            <w:pPr>
              <w:jc w:val="center"/>
              <w:rPr>
                <w:rFonts w:ascii="Arial" w:hAnsi="Arial" w:cs="Arial"/>
                <w:b/>
                <w:bCs/>
              </w:rPr>
            </w:pPr>
            <w:r>
              <w:rPr>
                <w:rFonts w:ascii="Arial" w:hAnsi="Arial" w:cs="Arial"/>
                <w:b/>
                <w:bCs/>
              </w:rPr>
              <w:t>-8,9 %</w:t>
            </w:r>
          </w:p>
        </w:tc>
        <w:tc>
          <w:tcPr>
            <w:tcW w:w="992" w:type="dxa"/>
            <w:tcBorders>
              <w:top w:val="dashSmallGap" w:sz="4" w:space="0" w:color="000000" w:themeColor="text1"/>
              <w:bottom w:val="single" w:sz="2" w:space="0" w:color="000000" w:themeColor="text1"/>
            </w:tcBorders>
          </w:tcPr>
          <w:p w14:paraId="465F0467" w14:textId="77777777" w:rsidR="00410185" w:rsidRPr="00CC60E5" w:rsidRDefault="00410185" w:rsidP="00D7242D">
            <w:pPr>
              <w:jc w:val="center"/>
              <w:rPr>
                <w:rFonts w:ascii="Arial" w:hAnsi="Arial" w:cs="Arial"/>
                <w:b/>
                <w:bCs/>
              </w:rPr>
            </w:pPr>
            <w:r>
              <w:rPr>
                <w:rFonts w:ascii="Arial" w:hAnsi="Arial" w:cs="Arial"/>
                <w:b/>
                <w:bCs/>
              </w:rPr>
              <w:t>-7,2 %</w:t>
            </w:r>
          </w:p>
        </w:tc>
        <w:tc>
          <w:tcPr>
            <w:tcW w:w="992" w:type="dxa"/>
            <w:tcBorders>
              <w:top w:val="dashSmallGap" w:sz="4" w:space="0" w:color="000000" w:themeColor="text1"/>
              <w:bottom w:val="single" w:sz="2" w:space="0" w:color="000000" w:themeColor="text1"/>
            </w:tcBorders>
          </w:tcPr>
          <w:p w14:paraId="4638B6BE" w14:textId="77777777" w:rsidR="00410185" w:rsidRPr="00CC60E5" w:rsidRDefault="00410185" w:rsidP="00D7242D">
            <w:pPr>
              <w:jc w:val="center"/>
              <w:rPr>
                <w:rFonts w:ascii="Arial" w:hAnsi="Arial" w:cs="Arial"/>
                <w:b/>
                <w:bCs/>
              </w:rPr>
            </w:pPr>
            <w:r>
              <w:rPr>
                <w:rFonts w:ascii="Arial" w:hAnsi="Arial" w:cs="Arial"/>
                <w:b/>
                <w:bCs/>
              </w:rPr>
              <w:t>-22,5 %</w:t>
            </w:r>
          </w:p>
        </w:tc>
        <w:tc>
          <w:tcPr>
            <w:tcW w:w="1135" w:type="dxa"/>
            <w:tcBorders>
              <w:top w:val="dashSmallGap" w:sz="4" w:space="0" w:color="000000" w:themeColor="text1"/>
              <w:bottom w:val="single" w:sz="2" w:space="0" w:color="000000" w:themeColor="text1"/>
            </w:tcBorders>
          </w:tcPr>
          <w:p w14:paraId="08C760E8" w14:textId="77777777" w:rsidR="00410185" w:rsidRPr="00CC60E5" w:rsidRDefault="00410185" w:rsidP="00D7242D">
            <w:pPr>
              <w:jc w:val="center"/>
              <w:rPr>
                <w:rFonts w:ascii="Arial" w:hAnsi="Arial" w:cs="Arial"/>
                <w:b/>
                <w:bCs/>
              </w:rPr>
            </w:pPr>
            <w:r>
              <w:rPr>
                <w:rFonts w:ascii="Arial" w:hAnsi="Arial" w:cs="Arial"/>
                <w:b/>
                <w:bCs/>
              </w:rPr>
              <w:t>+10,3 %</w:t>
            </w:r>
          </w:p>
        </w:tc>
        <w:tc>
          <w:tcPr>
            <w:tcW w:w="992" w:type="dxa"/>
            <w:tcBorders>
              <w:top w:val="dashSmallGap" w:sz="4" w:space="0" w:color="000000" w:themeColor="text1"/>
              <w:bottom w:val="single" w:sz="2" w:space="0" w:color="000000" w:themeColor="text1"/>
            </w:tcBorders>
          </w:tcPr>
          <w:p w14:paraId="63DD5B80" w14:textId="77777777" w:rsidR="00410185" w:rsidRPr="00CC60E5" w:rsidRDefault="00410185" w:rsidP="00D7242D">
            <w:pPr>
              <w:jc w:val="center"/>
              <w:rPr>
                <w:rFonts w:ascii="Arial" w:hAnsi="Arial" w:cs="Arial"/>
                <w:b/>
                <w:bCs/>
              </w:rPr>
            </w:pPr>
            <w:r>
              <w:rPr>
                <w:rFonts w:ascii="Arial" w:hAnsi="Arial" w:cs="Arial"/>
                <w:b/>
                <w:bCs/>
              </w:rPr>
              <w:t>-11,2 %</w:t>
            </w:r>
          </w:p>
        </w:tc>
      </w:tr>
      <w:tr w:rsidR="00410185" w14:paraId="47DD2C87" w14:textId="77777777" w:rsidTr="00D7242D">
        <w:tc>
          <w:tcPr>
            <w:tcW w:w="9199" w:type="dxa"/>
            <w:gridSpan w:val="8"/>
            <w:tcBorders>
              <w:top w:val="single" w:sz="2" w:space="0" w:color="000000" w:themeColor="text1"/>
              <w:bottom w:val="single" w:sz="2" w:space="0" w:color="000000" w:themeColor="text1"/>
            </w:tcBorders>
          </w:tcPr>
          <w:p w14:paraId="75E75CB9" w14:textId="77777777" w:rsidR="00410185" w:rsidRPr="00C1552A" w:rsidRDefault="00410185" w:rsidP="00D7242D">
            <w:pPr>
              <w:jc w:val="center"/>
              <w:rPr>
                <w:rFonts w:ascii="Arial" w:hAnsi="Arial" w:cs="Arial"/>
              </w:rPr>
            </w:pPr>
          </w:p>
        </w:tc>
      </w:tr>
      <w:tr w:rsidR="00410185" w14:paraId="69937CAB" w14:textId="77777777" w:rsidTr="00D7242D">
        <w:tc>
          <w:tcPr>
            <w:tcW w:w="9199" w:type="dxa"/>
            <w:gridSpan w:val="8"/>
            <w:tcBorders>
              <w:top w:val="single" w:sz="2" w:space="0" w:color="000000" w:themeColor="text1"/>
              <w:bottom w:val="single" w:sz="4" w:space="0" w:color="000000" w:themeColor="text1"/>
            </w:tcBorders>
          </w:tcPr>
          <w:p w14:paraId="0B0212AF" w14:textId="77777777" w:rsidR="00410185" w:rsidRPr="00C1552A" w:rsidRDefault="00410185" w:rsidP="00D7242D">
            <w:pPr>
              <w:jc w:val="center"/>
              <w:rPr>
                <w:rFonts w:ascii="Arial" w:hAnsi="Arial" w:cs="Arial"/>
              </w:rPr>
            </w:pPr>
            <w:r w:rsidRPr="4FF09C5F">
              <w:rPr>
                <w:rFonts w:ascii="Arial" w:hAnsi="Arial" w:cs="Arial"/>
                <w:i/>
                <w:iCs/>
              </w:rPr>
              <w:t>Sur six mois (</w:t>
            </w:r>
            <w:r>
              <w:rPr>
                <w:rFonts w:ascii="Arial" w:hAnsi="Arial" w:cs="Arial"/>
                <w:i/>
                <w:iCs/>
              </w:rPr>
              <w:t>août</w:t>
            </w:r>
            <w:r w:rsidRPr="4FF09C5F">
              <w:rPr>
                <w:rFonts w:ascii="Arial" w:hAnsi="Arial" w:cs="Arial"/>
                <w:i/>
                <w:iCs/>
              </w:rPr>
              <w:t xml:space="preserve"> 202</w:t>
            </w:r>
            <w:r>
              <w:rPr>
                <w:rFonts w:ascii="Arial" w:hAnsi="Arial" w:cs="Arial"/>
                <w:i/>
                <w:iCs/>
              </w:rPr>
              <w:t>3</w:t>
            </w:r>
            <w:r w:rsidRPr="4FF09C5F">
              <w:rPr>
                <w:rFonts w:ascii="Arial" w:hAnsi="Arial" w:cs="Arial"/>
                <w:i/>
                <w:iCs/>
              </w:rPr>
              <w:t xml:space="preserve"> → </w:t>
            </w:r>
            <w:r>
              <w:rPr>
                <w:rFonts w:ascii="Arial" w:hAnsi="Arial" w:cs="Arial"/>
                <w:i/>
                <w:iCs/>
              </w:rPr>
              <w:t>jan.</w:t>
            </w:r>
            <w:r w:rsidRPr="4FF09C5F">
              <w:rPr>
                <w:rFonts w:ascii="Arial" w:hAnsi="Arial" w:cs="Arial"/>
                <w:i/>
                <w:iCs/>
              </w:rPr>
              <w:t xml:space="preserve"> 202</w:t>
            </w:r>
            <w:r>
              <w:rPr>
                <w:rFonts w:ascii="Arial" w:hAnsi="Arial" w:cs="Arial"/>
                <w:i/>
                <w:iCs/>
              </w:rPr>
              <w:t>4</w:t>
            </w:r>
            <w:r w:rsidRPr="4FF09C5F">
              <w:rPr>
                <w:rFonts w:ascii="Arial" w:hAnsi="Arial" w:cs="Arial"/>
                <w:i/>
                <w:iCs/>
              </w:rPr>
              <w:t xml:space="preserve"> / </w:t>
            </w:r>
            <w:r>
              <w:rPr>
                <w:rFonts w:ascii="Arial" w:hAnsi="Arial" w:cs="Arial"/>
                <w:i/>
                <w:iCs/>
              </w:rPr>
              <w:t>août</w:t>
            </w:r>
            <w:r w:rsidRPr="4FF09C5F">
              <w:rPr>
                <w:rFonts w:ascii="Arial" w:hAnsi="Arial" w:cs="Arial"/>
                <w:i/>
                <w:iCs/>
              </w:rPr>
              <w:t xml:space="preserve"> 20</w:t>
            </w:r>
            <w:r>
              <w:rPr>
                <w:rFonts w:ascii="Arial" w:hAnsi="Arial" w:cs="Arial"/>
                <w:i/>
                <w:iCs/>
              </w:rPr>
              <w:t>22</w:t>
            </w:r>
            <w:r w:rsidRPr="4FF09C5F">
              <w:rPr>
                <w:rFonts w:ascii="Arial" w:hAnsi="Arial" w:cs="Arial"/>
                <w:i/>
                <w:iCs/>
              </w:rPr>
              <w:t xml:space="preserve"> → </w:t>
            </w:r>
            <w:r>
              <w:rPr>
                <w:rFonts w:ascii="Arial" w:hAnsi="Arial" w:cs="Arial"/>
                <w:i/>
                <w:iCs/>
              </w:rPr>
              <w:t>jan.</w:t>
            </w:r>
            <w:r w:rsidRPr="4FF09C5F">
              <w:rPr>
                <w:rFonts w:ascii="Arial" w:hAnsi="Arial" w:cs="Arial"/>
                <w:i/>
                <w:iCs/>
              </w:rPr>
              <w:t xml:space="preserve"> 202</w:t>
            </w:r>
            <w:r>
              <w:rPr>
                <w:rFonts w:ascii="Arial" w:hAnsi="Arial" w:cs="Arial"/>
                <w:i/>
                <w:iCs/>
              </w:rPr>
              <w:t>3</w:t>
            </w:r>
            <w:r w:rsidRPr="4FF09C5F">
              <w:rPr>
                <w:rFonts w:ascii="Arial" w:hAnsi="Arial" w:cs="Arial"/>
                <w:i/>
                <w:iCs/>
              </w:rPr>
              <w:t>)</w:t>
            </w:r>
          </w:p>
        </w:tc>
      </w:tr>
      <w:tr w:rsidR="00410185" w14:paraId="5FE95896" w14:textId="77777777" w:rsidTr="00D7242D">
        <w:tc>
          <w:tcPr>
            <w:tcW w:w="2112" w:type="dxa"/>
            <w:tcBorders>
              <w:top w:val="single" w:sz="4" w:space="0" w:color="000000" w:themeColor="text1"/>
              <w:bottom w:val="dashSmallGap" w:sz="4" w:space="0" w:color="000000" w:themeColor="text1"/>
            </w:tcBorders>
          </w:tcPr>
          <w:p w14:paraId="5A2295B2" w14:textId="77777777" w:rsidR="00410185" w:rsidRPr="005763E8" w:rsidRDefault="00410185" w:rsidP="00D7242D">
            <w:pPr>
              <w:jc w:val="both"/>
              <w:rPr>
                <w:rFonts w:ascii="Arial" w:hAnsi="Arial" w:cs="Arial"/>
              </w:rPr>
            </w:pPr>
            <w:r w:rsidRPr="4FF09C5F">
              <w:rPr>
                <w:rFonts w:ascii="Arial" w:hAnsi="Arial" w:cs="Arial"/>
              </w:rPr>
              <w:t>Autorisations</w:t>
            </w:r>
          </w:p>
        </w:tc>
        <w:tc>
          <w:tcPr>
            <w:tcW w:w="992" w:type="dxa"/>
            <w:tcBorders>
              <w:top w:val="single" w:sz="4" w:space="0" w:color="000000" w:themeColor="text1"/>
              <w:bottom w:val="dashSmallGap" w:sz="4" w:space="0" w:color="000000" w:themeColor="text1"/>
            </w:tcBorders>
          </w:tcPr>
          <w:p w14:paraId="7BD5A4E1" w14:textId="77777777" w:rsidR="00410185" w:rsidRPr="00C1552A" w:rsidRDefault="00410185" w:rsidP="00D7242D">
            <w:pPr>
              <w:jc w:val="center"/>
              <w:rPr>
                <w:rFonts w:ascii="Arial" w:hAnsi="Arial" w:cs="Arial"/>
              </w:rPr>
            </w:pPr>
            <w:r>
              <w:rPr>
                <w:rFonts w:ascii="Arial" w:hAnsi="Arial" w:cs="Arial"/>
              </w:rPr>
              <w:t>-17,6 %</w:t>
            </w:r>
          </w:p>
        </w:tc>
        <w:tc>
          <w:tcPr>
            <w:tcW w:w="992" w:type="dxa"/>
            <w:tcBorders>
              <w:top w:val="single" w:sz="4" w:space="0" w:color="000000" w:themeColor="text1"/>
              <w:bottom w:val="dashSmallGap" w:sz="4" w:space="0" w:color="000000" w:themeColor="text1"/>
            </w:tcBorders>
          </w:tcPr>
          <w:p w14:paraId="4E233610" w14:textId="77777777" w:rsidR="00410185" w:rsidRPr="00C1552A" w:rsidRDefault="00410185" w:rsidP="00D7242D">
            <w:pPr>
              <w:jc w:val="center"/>
              <w:rPr>
                <w:rFonts w:ascii="Arial" w:hAnsi="Arial" w:cs="Arial"/>
              </w:rPr>
            </w:pPr>
            <w:r>
              <w:rPr>
                <w:rFonts w:ascii="Arial" w:hAnsi="Arial" w:cs="Arial"/>
              </w:rPr>
              <w:t>-2,8 %</w:t>
            </w:r>
          </w:p>
        </w:tc>
        <w:tc>
          <w:tcPr>
            <w:tcW w:w="992" w:type="dxa"/>
            <w:tcBorders>
              <w:top w:val="single" w:sz="4" w:space="0" w:color="000000" w:themeColor="text1"/>
              <w:bottom w:val="dashSmallGap" w:sz="4" w:space="0" w:color="000000" w:themeColor="text1"/>
            </w:tcBorders>
          </w:tcPr>
          <w:p w14:paraId="37DDD410" w14:textId="77777777" w:rsidR="00410185" w:rsidRPr="00C1552A" w:rsidRDefault="00410185" w:rsidP="00D7242D">
            <w:pPr>
              <w:jc w:val="center"/>
              <w:rPr>
                <w:rFonts w:ascii="Arial" w:hAnsi="Arial" w:cs="Arial"/>
              </w:rPr>
            </w:pPr>
            <w:r>
              <w:rPr>
                <w:rFonts w:ascii="Arial" w:hAnsi="Arial" w:cs="Arial"/>
              </w:rPr>
              <w:t>-12,3 %</w:t>
            </w:r>
          </w:p>
        </w:tc>
        <w:tc>
          <w:tcPr>
            <w:tcW w:w="992" w:type="dxa"/>
            <w:tcBorders>
              <w:top w:val="single" w:sz="4" w:space="0" w:color="000000" w:themeColor="text1"/>
              <w:bottom w:val="dashSmallGap" w:sz="4" w:space="0" w:color="000000" w:themeColor="text1"/>
            </w:tcBorders>
          </w:tcPr>
          <w:p w14:paraId="541D31E5" w14:textId="77777777" w:rsidR="00410185" w:rsidRPr="00C1552A" w:rsidRDefault="00410185" w:rsidP="00D7242D">
            <w:pPr>
              <w:jc w:val="center"/>
              <w:rPr>
                <w:rFonts w:ascii="Arial" w:hAnsi="Arial" w:cs="Arial"/>
              </w:rPr>
            </w:pPr>
            <w:r>
              <w:rPr>
                <w:rFonts w:ascii="Arial" w:hAnsi="Arial" w:cs="Arial"/>
              </w:rPr>
              <w:t>-29,2 %</w:t>
            </w:r>
          </w:p>
        </w:tc>
        <w:tc>
          <w:tcPr>
            <w:tcW w:w="992" w:type="dxa"/>
            <w:tcBorders>
              <w:top w:val="single" w:sz="4" w:space="0" w:color="000000" w:themeColor="text1"/>
              <w:bottom w:val="dashSmallGap" w:sz="4" w:space="0" w:color="000000" w:themeColor="text1"/>
            </w:tcBorders>
          </w:tcPr>
          <w:p w14:paraId="7F0FEDFD" w14:textId="77777777" w:rsidR="00410185" w:rsidRPr="00C1552A" w:rsidRDefault="00410185" w:rsidP="00D7242D">
            <w:pPr>
              <w:jc w:val="center"/>
              <w:rPr>
                <w:rFonts w:ascii="Arial" w:hAnsi="Arial" w:cs="Arial"/>
              </w:rPr>
            </w:pPr>
            <w:r>
              <w:rPr>
                <w:rFonts w:ascii="Arial" w:hAnsi="Arial" w:cs="Arial"/>
              </w:rPr>
              <w:t>-8,2 %</w:t>
            </w:r>
          </w:p>
        </w:tc>
        <w:tc>
          <w:tcPr>
            <w:tcW w:w="1135" w:type="dxa"/>
            <w:tcBorders>
              <w:top w:val="single" w:sz="4" w:space="0" w:color="000000" w:themeColor="text1"/>
              <w:bottom w:val="dashSmallGap" w:sz="4" w:space="0" w:color="000000" w:themeColor="text1"/>
            </w:tcBorders>
          </w:tcPr>
          <w:p w14:paraId="2129EDE9" w14:textId="77777777" w:rsidR="00410185" w:rsidRPr="00C1552A" w:rsidRDefault="00410185" w:rsidP="00D7242D">
            <w:pPr>
              <w:jc w:val="center"/>
              <w:rPr>
                <w:rFonts w:ascii="Arial" w:hAnsi="Arial" w:cs="Arial"/>
              </w:rPr>
            </w:pPr>
            <w:r>
              <w:rPr>
                <w:rFonts w:ascii="Arial" w:hAnsi="Arial" w:cs="Arial"/>
              </w:rPr>
              <w:t>-3,5 %</w:t>
            </w:r>
          </w:p>
        </w:tc>
        <w:tc>
          <w:tcPr>
            <w:tcW w:w="992" w:type="dxa"/>
            <w:tcBorders>
              <w:top w:val="single" w:sz="4" w:space="0" w:color="000000" w:themeColor="text1"/>
              <w:bottom w:val="dashSmallGap" w:sz="4" w:space="0" w:color="000000" w:themeColor="text1"/>
            </w:tcBorders>
          </w:tcPr>
          <w:p w14:paraId="6098C5CE" w14:textId="77777777" w:rsidR="00410185" w:rsidRPr="00C1552A" w:rsidRDefault="00410185" w:rsidP="00D7242D">
            <w:pPr>
              <w:jc w:val="center"/>
              <w:rPr>
                <w:rFonts w:ascii="Arial" w:hAnsi="Arial" w:cs="Arial"/>
              </w:rPr>
            </w:pPr>
            <w:r>
              <w:rPr>
                <w:rFonts w:ascii="Arial" w:hAnsi="Arial" w:cs="Arial"/>
              </w:rPr>
              <w:t>-11,4 %</w:t>
            </w:r>
          </w:p>
        </w:tc>
      </w:tr>
      <w:tr w:rsidR="00410185" w14:paraId="20373BAA" w14:textId="77777777" w:rsidTr="00D7242D">
        <w:tc>
          <w:tcPr>
            <w:tcW w:w="2112" w:type="dxa"/>
            <w:tcBorders>
              <w:top w:val="dashSmallGap" w:sz="4" w:space="0" w:color="000000" w:themeColor="text1"/>
              <w:bottom w:val="single" w:sz="2" w:space="0" w:color="000000" w:themeColor="text1"/>
            </w:tcBorders>
          </w:tcPr>
          <w:p w14:paraId="15F849C9" w14:textId="77777777" w:rsidR="00410185" w:rsidRPr="005763E8" w:rsidRDefault="00410185" w:rsidP="00D7242D">
            <w:pPr>
              <w:jc w:val="both"/>
              <w:rPr>
                <w:rFonts w:ascii="Arial" w:hAnsi="Arial" w:cs="Arial"/>
              </w:rPr>
            </w:pPr>
            <w:r w:rsidRPr="4FF09C5F">
              <w:rPr>
                <w:rFonts w:ascii="Arial" w:hAnsi="Arial" w:cs="Arial"/>
              </w:rPr>
              <w:t>Mises en chantier</w:t>
            </w:r>
          </w:p>
        </w:tc>
        <w:tc>
          <w:tcPr>
            <w:tcW w:w="992" w:type="dxa"/>
            <w:tcBorders>
              <w:top w:val="dashSmallGap" w:sz="4" w:space="0" w:color="000000" w:themeColor="text1"/>
              <w:bottom w:val="single" w:sz="2" w:space="0" w:color="000000" w:themeColor="text1"/>
            </w:tcBorders>
          </w:tcPr>
          <w:p w14:paraId="71336EF2" w14:textId="77777777" w:rsidR="00410185" w:rsidRPr="00C1552A" w:rsidRDefault="00410185" w:rsidP="00D7242D">
            <w:pPr>
              <w:jc w:val="center"/>
              <w:rPr>
                <w:rFonts w:ascii="Arial" w:hAnsi="Arial" w:cs="Arial"/>
              </w:rPr>
            </w:pPr>
            <w:r>
              <w:rPr>
                <w:rFonts w:ascii="Arial" w:hAnsi="Arial" w:cs="Arial"/>
              </w:rPr>
              <w:t>-33,7 %</w:t>
            </w:r>
          </w:p>
        </w:tc>
        <w:tc>
          <w:tcPr>
            <w:tcW w:w="992" w:type="dxa"/>
            <w:tcBorders>
              <w:top w:val="dashSmallGap" w:sz="4" w:space="0" w:color="000000" w:themeColor="text1"/>
              <w:bottom w:val="single" w:sz="2" w:space="0" w:color="000000" w:themeColor="text1"/>
            </w:tcBorders>
          </w:tcPr>
          <w:p w14:paraId="5D342C54" w14:textId="77777777" w:rsidR="00410185" w:rsidRPr="00C1552A" w:rsidRDefault="00410185" w:rsidP="00D7242D">
            <w:pPr>
              <w:jc w:val="center"/>
              <w:rPr>
                <w:rFonts w:ascii="Arial" w:hAnsi="Arial" w:cs="Arial"/>
              </w:rPr>
            </w:pPr>
            <w:r>
              <w:rPr>
                <w:rFonts w:ascii="Arial" w:hAnsi="Arial" w:cs="Arial"/>
              </w:rPr>
              <w:t>-13,4 %</w:t>
            </w:r>
          </w:p>
        </w:tc>
        <w:tc>
          <w:tcPr>
            <w:tcW w:w="992" w:type="dxa"/>
            <w:tcBorders>
              <w:top w:val="dashSmallGap" w:sz="4" w:space="0" w:color="000000" w:themeColor="text1"/>
              <w:bottom w:val="single" w:sz="2" w:space="0" w:color="000000" w:themeColor="text1"/>
            </w:tcBorders>
          </w:tcPr>
          <w:p w14:paraId="35957A71" w14:textId="77777777" w:rsidR="00410185" w:rsidRPr="00C1552A" w:rsidRDefault="00410185" w:rsidP="00D7242D">
            <w:pPr>
              <w:jc w:val="center"/>
              <w:rPr>
                <w:rFonts w:ascii="Arial" w:hAnsi="Arial" w:cs="Arial"/>
              </w:rPr>
            </w:pPr>
            <w:r>
              <w:rPr>
                <w:rFonts w:ascii="Arial" w:hAnsi="Arial" w:cs="Arial"/>
              </w:rPr>
              <w:t>-7,8 %</w:t>
            </w:r>
          </w:p>
        </w:tc>
        <w:tc>
          <w:tcPr>
            <w:tcW w:w="992" w:type="dxa"/>
            <w:tcBorders>
              <w:top w:val="dashSmallGap" w:sz="4" w:space="0" w:color="000000" w:themeColor="text1"/>
              <w:bottom w:val="single" w:sz="2" w:space="0" w:color="000000" w:themeColor="text1"/>
            </w:tcBorders>
          </w:tcPr>
          <w:p w14:paraId="4287186B" w14:textId="77777777" w:rsidR="00410185" w:rsidRPr="00C1552A" w:rsidRDefault="00410185" w:rsidP="00D7242D">
            <w:pPr>
              <w:jc w:val="center"/>
              <w:rPr>
                <w:rFonts w:ascii="Arial" w:hAnsi="Arial" w:cs="Arial"/>
              </w:rPr>
            </w:pPr>
            <w:r>
              <w:rPr>
                <w:rFonts w:ascii="Arial" w:hAnsi="Arial" w:cs="Arial"/>
              </w:rPr>
              <w:t>-9,8 %</w:t>
            </w:r>
          </w:p>
        </w:tc>
        <w:tc>
          <w:tcPr>
            <w:tcW w:w="992" w:type="dxa"/>
            <w:tcBorders>
              <w:top w:val="dashSmallGap" w:sz="4" w:space="0" w:color="000000" w:themeColor="text1"/>
              <w:bottom w:val="single" w:sz="2" w:space="0" w:color="000000" w:themeColor="text1"/>
            </w:tcBorders>
          </w:tcPr>
          <w:p w14:paraId="53C092C4" w14:textId="77777777" w:rsidR="00410185" w:rsidRPr="00C1552A" w:rsidRDefault="00410185" w:rsidP="00D7242D">
            <w:pPr>
              <w:jc w:val="center"/>
              <w:rPr>
                <w:rFonts w:ascii="Arial" w:hAnsi="Arial" w:cs="Arial"/>
              </w:rPr>
            </w:pPr>
            <w:r>
              <w:rPr>
                <w:rFonts w:ascii="Arial" w:hAnsi="Arial" w:cs="Arial"/>
              </w:rPr>
              <w:t>-14,0 %</w:t>
            </w:r>
          </w:p>
        </w:tc>
        <w:tc>
          <w:tcPr>
            <w:tcW w:w="1135" w:type="dxa"/>
            <w:tcBorders>
              <w:top w:val="dashSmallGap" w:sz="4" w:space="0" w:color="000000" w:themeColor="text1"/>
              <w:bottom w:val="single" w:sz="2" w:space="0" w:color="000000" w:themeColor="text1"/>
            </w:tcBorders>
          </w:tcPr>
          <w:p w14:paraId="1DCB5780" w14:textId="77777777" w:rsidR="00410185" w:rsidRPr="00C1552A" w:rsidRDefault="00410185" w:rsidP="00D7242D">
            <w:pPr>
              <w:jc w:val="center"/>
              <w:rPr>
                <w:rFonts w:ascii="Arial" w:hAnsi="Arial" w:cs="Arial"/>
              </w:rPr>
            </w:pPr>
            <w:r>
              <w:rPr>
                <w:rFonts w:ascii="Arial" w:hAnsi="Arial" w:cs="Arial"/>
              </w:rPr>
              <w:t>-1,3 %</w:t>
            </w:r>
          </w:p>
        </w:tc>
        <w:tc>
          <w:tcPr>
            <w:tcW w:w="992" w:type="dxa"/>
            <w:tcBorders>
              <w:top w:val="dashSmallGap" w:sz="4" w:space="0" w:color="000000" w:themeColor="text1"/>
              <w:bottom w:val="single" w:sz="2" w:space="0" w:color="000000" w:themeColor="text1"/>
            </w:tcBorders>
          </w:tcPr>
          <w:p w14:paraId="1CE88B5D" w14:textId="77777777" w:rsidR="00410185" w:rsidRPr="00C1552A" w:rsidRDefault="00410185" w:rsidP="00D7242D">
            <w:pPr>
              <w:jc w:val="center"/>
              <w:rPr>
                <w:rFonts w:ascii="Arial" w:hAnsi="Arial" w:cs="Arial"/>
              </w:rPr>
            </w:pPr>
            <w:r>
              <w:rPr>
                <w:rFonts w:ascii="Arial" w:hAnsi="Arial" w:cs="Arial"/>
              </w:rPr>
              <w:t>-9,5 %</w:t>
            </w:r>
          </w:p>
        </w:tc>
      </w:tr>
      <w:tr w:rsidR="00410185" w14:paraId="3BA5236A" w14:textId="77777777" w:rsidTr="00D7242D">
        <w:tc>
          <w:tcPr>
            <w:tcW w:w="9199" w:type="dxa"/>
            <w:gridSpan w:val="8"/>
            <w:tcBorders>
              <w:top w:val="single" w:sz="2" w:space="0" w:color="000000" w:themeColor="text1"/>
              <w:bottom w:val="single" w:sz="2" w:space="0" w:color="000000" w:themeColor="text1"/>
            </w:tcBorders>
          </w:tcPr>
          <w:p w14:paraId="01F8AA2D" w14:textId="77777777" w:rsidR="00410185" w:rsidRPr="00577CBA" w:rsidRDefault="00410185" w:rsidP="00D7242D">
            <w:pPr>
              <w:jc w:val="center"/>
              <w:rPr>
                <w:rFonts w:ascii="Arial" w:hAnsi="Arial" w:cs="Arial"/>
              </w:rPr>
            </w:pPr>
          </w:p>
        </w:tc>
      </w:tr>
      <w:tr w:rsidR="00410185" w14:paraId="14FD857E" w14:textId="77777777" w:rsidTr="00D7242D">
        <w:tc>
          <w:tcPr>
            <w:tcW w:w="9199" w:type="dxa"/>
            <w:gridSpan w:val="8"/>
            <w:tcBorders>
              <w:top w:val="single" w:sz="2" w:space="0" w:color="000000" w:themeColor="text1"/>
              <w:bottom w:val="single" w:sz="2" w:space="0" w:color="000000" w:themeColor="text1"/>
            </w:tcBorders>
          </w:tcPr>
          <w:p w14:paraId="494C73A6" w14:textId="77777777" w:rsidR="00410185" w:rsidRPr="005B01BF" w:rsidRDefault="00410185" w:rsidP="00D7242D">
            <w:pPr>
              <w:jc w:val="center"/>
              <w:rPr>
                <w:rFonts w:ascii="Arial" w:hAnsi="Arial" w:cs="Arial"/>
              </w:rPr>
            </w:pPr>
            <w:r w:rsidRPr="00704446">
              <w:rPr>
                <w:rFonts w:ascii="Arial" w:hAnsi="Arial" w:cs="Arial"/>
                <w:i/>
                <w:iCs/>
              </w:rPr>
              <w:t>Sur neuf mois (</w:t>
            </w:r>
            <w:r>
              <w:rPr>
                <w:rFonts w:ascii="Arial" w:hAnsi="Arial" w:cs="Arial"/>
                <w:i/>
                <w:iCs/>
              </w:rPr>
              <w:t>mai</w:t>
            </w:r>
            <w:r w:rsidRPr="00704446">
              <w:rPr>
                <w:rFonts w:ascii="Arial" w:hAnsi="Arial" w:cs="Arial"/>
                <w:i/>
                <w:iCs/>
              </w:rPr>
              <w:t xml:space="preserve"> 202</w:t>
            </w:r>
            <w:r>
              <w:rPr>
                <w:rFonts w:ascii="Arial" w:hAnsi="Arial" w:cs="Arial"/>
                <w:i/>
                <w:iCs/>
              </w:rPr>
              <w:t>3</w:t>
            </w:r>
            <w:r w:rsidRPr="00704446">
              <w:rPr>
                <w:rFonts w:ascii="Arial" w:hAnsi="Arial" w:cs="Arial"/>
                <w:i/>
                <w:iCs/>
              </w:rPr>
              <w:t xml:space="preserve"> → </w:t>
            </w:r>
            <w:r>
              <w:rPr>
                <w:rFonts w:ascii="Arial" w:hAnsi="Arial" w:cs="Arial"/>
                <w:i/>
                <w:iCs/>
              </w:rPr>
              <w:t>jan</w:t>
            </w:r>
            <w:r w:rsidRPr="00704446">
              <w:rPr>
                <w:rFonts w:ascii="Arial" w:hAnsi="Arial" w:cs="Arial"/>
                <w:i/>
                <w:iCs/>
              </w:rPr>
              <w:t>. 202</w:t>
            </w:r>
            <w:r>
              <w:rPr>
                <w:rFonts w:ascii="Arial" w:hAnsi="Arial" w:cs="Arial"/>
                <w:i/>
                <w:iCs/>
              </w:rPr>
              <w:t>4</w:t>
            </w:r>
            <w:r w:rsidRPr="00704446">
              <w:rPr>
                <w:rFonts w:ascii="Arial" w:hAnsi="Arial" w:cs="Arial"/>
                <w:i/>
                <w:iCs/>
              </w:rPr>
              <w:t xml:space="preserve"> / </w:t>
            </w:r>
            <w:r>
              <w:rPr>
                <w:rFonts w:ascii="Arial" w:hAnsi="Arial" w:cs="Arial"/>
                <w:i/>
                <w:iCs/>
              </w:rPr>
              <w:t>mai</w:t>
            </w:r>
            <w:r w:rsidRPr="00704446">
              <w:rPr>
                <w:rFonts w:ascii="Arial" w:hAnsi="Arial" w:cs="Arial"/>
                <w:i/>
                <w:iCs/>
              </w:rPr>
              <w:t xml:space="preserve"> 202</w:t>
            </w:r>
            <w:r>
              <w:rPr>
                <w:rFonts w:ascii="Arial" w:hAnsi="Arial" w:cs="Arial"/>
                <w:i/>
                <w:iCs/>
              </w:rPr>
              <w:t>2</w:t>
            </w:r>
            <w:r w:rsidRPr="00704446">
              <w:rPr>
                <w:rFonts w:ascii="Arial" w:hAnsi="Arial" w:cs="Arial"/>
                <w:i/>
                <w:iCs/>
              </w:rPr>
              <w:t xml:space="preserve"> → </w:t>
            </w:r>
            <w:r>
              <w:rPr>
                <w:rFonts w:ascii="Arial" w:hAnsi="Arial" w:cs="Arial"/>
                <w:i/>
                <w:iCs/>
              </w:rPr>
              <w:t>jan.</w:t>
            </w:r>
            <w:r w:rsidRPr="00704446">
              <w:rPr>
                <w:rFonts w:ascii="Arial" w:hAnsi="Arial" w:cs="Arial"/>
                <w:i/>
                <w:iCs/>
              </w:rPr>
              <w:t xml:space="preserve"> 202</w:t>
            </w:r>
            <w:r>
              <w:rPr>
                <w:rFonts w:ascii="Arial" w:hAnsi="Arial" w:cs="Arial"/>
                <w:i/>
                <w:iCs/>
              </w:rPr>
              <w:t>3</w:t>
            </w:r>
            <w:r w:rsidRPr="00704446">
              <w:rPr>
                <w:rFonts w:ascii="Arial" w:hAnsi="Arial" w:cs="Arial"/>
                <w:i/>
                <w:iCs/>
              </w:rPr>
              <w:t>)</w:t>
            </w:r>
          </w:p>
        </w:tc>
      </w:tr>
      <w:tr w:rsidR="00410185" w14:paraId="37B7AF51" w14:textId="77777777" w:rsidTr="00D7242D">
        <w:tc>
          <w:tcPr>
            <w:tcW w:w="2112" w:type="dxa"/>
            <w:tcBorders>
              <w:top w:val="single" w:sz="2" w:space="0" w:color="000000" w:themeColor="text1"/>
              <w:bottom w:val="dashSmallGap" w:sz="4" w:space="0" w:color="000000" w:themeColor="text1"/>
            </w:tcBorders>
          </w:tcPr>
          <w:p w14:paraId="5CF6F29C" w14:textId="77777777" w:rsidR="00410185" w:rsidRPr="005B01BF" w:rsidRDefault="00410185" w:rsidP="00D7242D">
            <w:pPr>
              <w:jc w:val="both"/>
              <w:rPr>
                <w:rFonts w:ascii="Arial" w:hAnsi="Arial" w:cs="Arial"/>
              </w:rPr>
            </w:pPr>
            <w:r w:rsidRPr="005B01BF">
              <w:rPr>
                <w:rFonts w:ascii="Arial" w:hAnsi="Arial" w:cs="Arial"/>
              </w:rPr>
              <w:t>Autorisations</w:t>
            </w:r>
          </w:p>
        </w:tc>
        <w:tc>
          <w:tcPr>
            <w:tcW w:w="992" w:type="dxa"/>
            <w:tcBorders>
              <w:top w:val="single" w:sz="2" w:space="0" w:color="000000" w:themeColor="text1"/>
              <w:bottom w:val="dashSmallGap" w:sz="4" w:space="0" w:color="000000" w:themeColor="text1"/>
            </w:tcBorders>
          </w:tcPr>
          <w:p w14:paraId="08C64196" w14:textId="77777777" w:rsidR="00410185" w:rsidRPr="005B01BF" w:rsidRDefault="00410185" w:rsidP="00D7242D">
            <w:pPr>
              <w:jc w:val="center"/>
              <w:rPr>
                <w:rFonts w:ascii="Arial" w:hAnsi="Arial" w:cs="Arial"/>
              </w:rPr>
            </w:pPr>
            <w:r>
              <w:rPr>
                <w:rFonts w:ascii="Arial" w:hAnsi="Arial" w:cs="Arial"/>
              </w:rPr>
              <w:t>-19,3 %</w:t>
            </w:r>
          </w:p>
        </w:tc>
        <w:tc>
          <w:tcPr>
            <w:tcW w:w="992" w:type="dxa"/>
            <w:tcBorders>
              <w:top w:val="single" w:sz="2" w:space="0" w:color="000000" w:themeColor="text1"/>
              <w:bottom w:val="dashSmallGap" w:sz="4" w:space="0" w:color="000000" w:themeColor="text1"/>
            </w:tcBorders>
          </w:tcPr>
          <w:p w14:paraId="38CED516" w14:textId="77777777" w:rsidR="00410185" w:rsidRPr="005B01BF" w:rsidRDefault="00410185" w:rsidP="00D7242D">
            <w:pPr>
              <w:jc w:val="center"/>
              <w:rPr>
                <w:rFonts w:ascii="Arial" w:hAnsi="Arial" w:cs="Arial"/>
              </w:rPr>
            </w:pPr>
            <w:r>
              <w:rPr>
                <w:rFonts w:ascii="Arial" w:hAnsi="Arial" w:cs="Arial"/>
              </w:rPr>
              <w:t>-6,5 %</w:t>
            </w:r>
          </w:p>
        </w:tc>
        <w:tc>
          <w:tcPr>
            <w:tcW w:w="992" w:type="dxa"/>
            <w:tcBorders>
              <w:top w:val="single" w:sz="2" w:space="0" w:color="000000" w:themeColor="text1"/>
              <w:bottom w:val="dashSmallGap" w:sz="4" w:space="0" w:color="000000" w:themeColor="text1"/>
            </w:tcBorders>
          </w:tcPr>
          <w:p w14:paraId="71D16C4E" w14:textId="77777777" w:rsidR="00410185" w:rsidRPr="005B01BF" w:rsidRDefault="00410185" w:rsidP="00D7242D">
            <w:pPr>
              <w:jc w:val="center"/>
              <w:rPr>
                <w:rFonts w:ascii="Arial" w:hAnsi="Arial" w:cs="Arial"/>
              </w:rPr>
            </w:pPr>
            <w:r>
              <w:rPr>
                <w:rFonts w:ascii="Arial" w:hAnsi="Arial" w:cs="Arial"/>
              </w:rPr>
              <w:t>-4,6 %</w:t>
            </w:r>
          </w:p>
        </w:tc>
        <w:tc>
          <w:tcPr>
            <w:tcW w:w="992" w:type="dxa"/>
            <w:tcBorders>
              <w:top w:val="single" w:sz="2" w:space="0" w:color="000000" w:themeColor="text1"/>
              <w:bottom w:val="dashSmallGap" w:sz="4" w:space="0" w:color="000000" w:themeColor="text1"/>
            </w:tcBorders>
          </w:tcPr>
          <w:p w14:paraId="0A34D8D6" w14:textId="77777777" w:rsidR="00410185" w:rsidRPr="005B01BF" w:rsidRDefault="00410185" w:rsidP="00D7242D">
            <w:pPr>
              <w:jc w:val="center"/>
              <w:rPr>
                <w:rFonts w:ascii="Arial" w:hAnsi="Arial" w:cs="Arial"/>
              </w:rPr>
            </w:pPr>
            <w:r>
              <w:rPr>
                <w:rFonts w:ascii="Arial" w:hAnsi="Arial" w:cs="Arial"/>
              </w:rPr>
              <w:t>-24,1 %</w:t>
            </w:r>
          </w:p>
        </w:tc>
        <w:tc>
          <w:tcPr>
            <w:tcW w:w="992" w:type="dxa"/>
            <w:tcBorders>
              <w:top w:val="single" w:sz="2" w:space="0" w:color="000000" w:themeColor="text1"/>
              <w:bottom w:val="dashSmallGap" w:sz="4" w:space="0" w:color="000000" w:themeColor="text1"/>
            </w:tcBorders>
          </w:tcPr>
          <w:p w14:paraId="286F3DD2" w14:textId="77777777" w:rsidR="00410185" w:rsidRPr="005B01BF" w:rsidRDefault="00410185" w:rsidP="00D7242D">
            <w:pPr>
              <w:jc w:val="center"/>
              <w:rPr>
                <w:rFonts w:ascii="Arial" w:hAnsi="Arial" w:cs="Arial"/>
              </w:rPr>
            </w:pPr>
            <w:r>
              <w:rPr>
                <w:rFonts w:ascii="Arial" w:hAnsi="Arial" w:cs="Arial"/>
              </w:rPr>
              <w:t>-4,9 %</w:t>
            </w:r>
          </w:p>
        </w:tc>
        <w:tc>
          <w:tcPr>
            <w:tcW w:w="1135" w:type="dxa"/>
            <w:tcBorders>
              <w:top w:val="single" w:sz="2" w:space="0" w:color="000000" w:themeColor="text1"/>
              <w:bottom w:val="dashSmallGap" w:sz="4" w:space="0" w:color="000000" w:themeColor="text1"/>
            </w:tcBorders>
          </w:tcPr>
          <w:p w14:paraId="4EA35DFB" w14:textId="77777777" w:rsidR="00410185" w:rsidRPr="005B01BF" w:rsidRDefault="00410185" w:rsidP="00D7242D">
            <w:pPr>
              <w:jc w:val="center"/>
              <w:rPr>
                <w:rFonts w:ascii="Arial" w:hAnsi="Arial" w:cs="Arial"/>
              </w:rPr>
            </w:pPr>
            <w:r>
              <w:rPr>
                <w:rFonts w:ascii="Arial" w:hAnsi="Arial" w:cs="Arial"/>
              </w:rPr>
              <w:t>-0,1 %</w:t>
            </w:r>
          </w:p>
        </w:tc>
        <w:tc>
          <w:tcPr>
            <w:tcW w:w="992" w:type="dxa"/>
            <w:tcBorders>
              <w:top w:val="single" w:sz="2" w:space="0" w:color="000000" w:themeColor="text1"/>
              <w:bottom w:val="dashSmallGap" w:sz="4" w:space="0" w:color="000000" w:themeColor="text1"/>
            </w:tcBorders>
          </w:tcPr>
          <w:p w14:paraId="6C5944F7" w14:textId="77777777" w:rsidR="00410185" w:rsidRPr="005B01BF" w:rsidRDefault="00410185" w:rsidP="00D7242D">
            <w:pPr>
              <w:jc w:val="center"/>
              <w:rPr>
                <w:rFonts w:ascii="Arial" w:hAnsi="Arial" w:cs="Arial"/>
              </w:rPr>
            </w:pPr>
            <w:r>
              <w:rPr>
                <w:rFonts w:ascii="Arial" w:hAnsi="Arial" w:cs="Arial"/>
              </w:rPr>
              <w:t>-7,5 %</w:t>
            </w:r>
          </w:p>
        </w:tc>
      </w:tr>
      <w:tr w:rsidR="00410185" w14:paraId="711D81E7" w14:textId="77777777" w:rsidTr="00D7242D">
        <w:tc>
          <w:tcPr>
            <w:tcW w:w="2112" w:type="dxa"/>
            <w:tcBorders>
              <w:top w:val="dashSmallGap" w:sz="4" w:space="0" w:color="000000" w:themeColor="text1"/>
              <w:bottom w:val="single" w:sz="2" w:space="0" w:color="000000" w:themeColor="text1"/>
            </w:tcBorders>
          </w:tcPr>
          <w:p w14:paraId="1CCD8C5F" w14:textId="77777777" w:rsidR="00410185" w:rsidRPr="005B01BF" w:rsidRDefault="00410185" w:rsidP="00D7242D">
            <w:pPr>
              <w:jc w:val="both"/>
              <w:rPr>
                <w:rFonts w:ascii="Arial" w:hAnsi="Arial" w:cs="Arial"/>
              </w:rPr>
            </w:pPr>
            <w:r w:rsidRPr="005B01BF">
              <w:rPr>
                <w:rFonts w:ascii="Arial" w:hAnsi="Arial" w:cs="Arial"/>
              </w:rPr>
              <w:t>Mises en chantier</w:t>
            </w:r>
          </w:p>
        </w:tc>
        <w:tc>
          <w:tcPr>
            <w:tcW w:w="992" w:type="dxa"/>
            <w:tcBorders>
              <w:top w:val="dashSmallGap" w:sz="4" w:space="0" w:color="000000" w:themeColor="text1"/>
              <w:bottom w:val="single" w:sz="2" w:space="0" w:color="000000" w:themeColor="text1"/>
            </w:tcBorders>
          </w:tcPr>
          <w:p w14:paraId="148ED91A" w14:textId="77777777" w:rsidR="00410185" w:rsidRPr="005B01BF" w:rsidRDefault="00410185" w:rsidP="00D7242D">
            <w:pPr>
              <w:jc w:val="center"/>
              <w:rPr>
                <w:rFonts w:ascii="Arial" w:hAnsi="Arial" w:cs="Arial"/>
              </w:rPr>
            </w:pPr>
            <w:r>
              <w:rPr>
                <w:rFonts w:ascii="Arial" w:hAnsi="Arial" w:cs="Arial"/>
              </w:rPr>
              <w:t>-25,5 %</w:t>
            </w:r>
          </w:p>
        </w:tc>
        <w:tc>
          <w:tcPr>
            <w:tcW w:w="992" w:type="dxa"/>
            <w:tcBorders>
              <w:top w:val="dashSmallGap" w:sz="4" w:space="0" w:color="000000" w:themeColor="text1"/>
              <w:bottom w:val="single" w:sz="2" w:space="0" w:color="000000" w:themeColor="text1"/>
            </w:tcBorders>
          </w:tcPr>
          <w:p w14:paraId="472B83F3" w14:textId="77777777" w:rsidR="00410185" w:rsidRPr="005B01BF" w:rsidRDefault="00410185" w:rsidP="00D7242D">
            <w:pPr>
              <w:jc w:val="center"/>
              <w:rPr>
                <w:rFonts w:ascii="Arial" w:hAnsi="Arial" w:cs="Arial"/>
              </w:rPr>
            </w:pPr>
            <w:r>
              <w:rPr>
                <w:rFonts w:ascii="Arial" w:hAnsi="Arial" w:cs="Arial"/>
              </w:rPr>
              <w:t>-16,8 %</w:t>
            </w:r>
          </w:p>
        </w:tc>
        <w:tc>
          <w:tcPr>
            <w:tcW w:w="992" w:type="dxa"/>
            <w:tcBorders>
              <w:top w:val="dashSmallGap" w:sz="4" w:space="0" w:color="000000" w:themeColor="text1"/>
              <w:bottom w:val="single" w:sz="2" w:space="0" w:color="000000" w:themeColor="text1"/>
            </w:tcBorders>
          </w:tcPr>
          <w:p w14:paraId="6B71E262" w14:textId="77777777" w:rsidR="00410185" w:rsidRPr="005B01BF" w:rsidRDefault="00410185" w:rsidP="00D7242D">
            <w:pPr>
              <w:jc w:val="center"/>
              <w:rPr>
                <w:rFonts w:ascii="Arial" w:hAnsi="Arial" w:cs="Arial"/>
              </w:rPr>
            </w:pPr>
            <w:r>
              <w:rPr>
                <w:rFonts w:ascii="Arial" w:hAnsi="Arial" w:cs="Arial"/>
              </w:rPr>
              <w:t>-13,6 %</w:t>
            </w:r>
          </w:p>
        </w:tc>
        <w:tc>
          <w:tcPr>
            <w:tcW w:w="992" w:type="dxa"/>
            <w:tcBorders>
              <w:top w:val="dashSmallGap" w:sz="4" w:space="0" w:color="000000" w:themeColor="text1"/>
              <w:bottom w:val="single" w:sz="2" w:space="0" w:color="000000" w:themeColor="text1"/>
            </w:tcBorders>
          </w:tcPr>
          <w:p w14:paraId="0B06B307" w14:textId="77777777" w:rsidR="00410185" w:rsidRPr="005B01BF" w:rsidRDefault="00410185" w:rsidP="00D7242D">
            <w:pPr>
              <w:jc w:val="center"/>
              <w:rPr>
                <w:rFonts w:ascii="Arial" w:hAnsi="Arial" w:cs="Arial"/>
              </w:rPr>
            </w:pPr>
            <w:r>
              <w:rPr>
                <w:rFonts w:ascii="Arial" w:hAnsi="Arial" w:cs="Arial"/>
              </w:rPr>
              <w:t>-14,4 %</w:t>
            </w:r>
          </w:p>
        </w:tc>
        <w:tc>
          <w:tcPr>
            <w:tcW w:w="992" w:type="dxa"/>
            <w:tcBorders>
              <w:top w:val="dashSmallGap" w:sz="4" w:space="0" w:color="000000" w:themeColor="text1"/>
              <w:bottom w:val="single" w:sz="2" w:space="0" w:color="000000" w:themeColor="text1"/>
            </w:tcBorders>
          </w:tcPr>
          <w:p w14:paraId="1B0EDCE6" w14:textId="77777777" w:rsidR="00410185" w:rsidRPr="005B01BF" w:rsidRDefault="00410185" w:rsidP="00D7242D">
            <w:pPr>
              <w:jc w:val="center"/>
              <w:rPr>
                <w:rFonts w:ascii="Arial" w:hAnsi="Arial" w:cs="Arial"/>
              </w:rPr>
            </w:pPr>
            <w:r>
              <w:rPr>
                <w:rFonts w:ascii="Arial" w:hAnsi="Arial" w:cs="Arial"/>
              </w:rPr>
              <w:t>-18,7 %</w:t>
            </w:r>
          </w:p>
        </w:tc>
        <w:tc>
          <w:tcPr>
            <w:tcW w:w="1135" w:type="dxa"/>
            <w:tcBorders>
              <w:top w:val="dashSmallGap" w:sz="4" w:space="0" w:color="000000" w:themeColor="text1"/>
              <w:bottom w:val="single" w:sz="2" w:space="0" w:color="000000" w:themeColor="text1"/>
            </w:tcBorders>
          </w:tcPr>
          <w:p w14:paraId="243D36BA" w14:textId="77777777" w:rsidR="00410185" w:rsidRPr="005B01BF" w:rsidRDefault="00410185" w:rsidP="00D7242D">
            <w:pPr>
              <w:jc w:val="center"/>
              <w:rPr>
                <w:rFonts w:ascii="Arial" w:hAnsi="Arial" w:cs="Arial"/>
              </w:rPr>
            </w:pPr>
            <w:r>
              <w:rPr>
                <w:rFonts w:ascii="Arial" w:hAnsi="Arial" w:cs="Arial"/>
              </w:rPr>
              <w:t>+2,8 %</w:t>
            </w:r>
          </w:p>
        </w:tc>
        <w:tc>
          <w:tcPr>
            <w:tcW w:w="992" w:type="dxa"/>
            <w:tcBorders>
              <w:top w:val="dashSmallGap" w:sz="4" w:space="0" w:color="000000" w:themeColor="text1"/>
              <w:bottom w:val="single" w:sz="2" w:space="0" w:color="000000" w:themeColor="text1"/>
            </w:tcBorders>
          </w:tcPr>
          <w:p w14:paraId="5B6948DF" w14:textId="77777777" w:rsidR="00410185" w:rsidRPr="005B01BF" w:rsidRDefault="00410185" w:rsidP="00D7242D">
            <w:pPr>
              <w:jc w:val="center"/>
              <w:rPr>
                <w:rFonts w:ascii="Arial" w:hAnsi="Arial" w:cs="Arial"/>
              </w:rPr>
            </w:pPr>
            <w:r>
              <w:rPr>
                <w:rFonts w:ascii="Arial" w:hAnsi="Arial" w:cs="Arial"/>
              </w:rPr>
              <w:t>-12,8 %</w:t>
            </w:r>
          </w:p>
        </w:tc>
      </w:tr>
      <w:tr w:rsidR="00410185" w:rsidRPr="003F79C3" w14:paraId="633C3163" w14:textId="77777777" w:rsidTr="00D7242D">
        <w:tc>
          <w:tcPr>
            <w:tcW w:w="9199" w:type="dxa"/>
            <w:gridSpan w:val="8"/>
            <w:tcBorders>
              <w:top w:val="single" w:sz="2" w:space="0" w:color="000000" w:themeColor="text1"/>
              <w:bottom w:val="single" w:sz="2" w:space="0" w:color="000000" w:themeColor="text1"/>
            </w:tcBorders>
          </w:tcPr>
          <w:p w14:paraId="140D7488" w14:textId="77777777" w:rsidR="00410185" w:rsidRPr="00577CBA" w:rsidRDefault="00410185" w:rsidP="00D7242D">
            <w:pPr>
              <w:jc w:val="center"/>
              <w:rPr>
                <w:rFonts w:ascii="Arial" w:hAnsi="Arial" w:cs="Arial"/>
                <w:b/>
              </w:rPr>
            </w:pPr>
          </w:p>
        </w:tc>
      </w:tr>
      <w:tr w:rsidR="00410185" w:rsidRPr="003F79C3" w14:paraId="7D38B340" w14:textId="77777777" w:rsidTr="00D7242D">
        <w:tc>
          <w:tcPr>
            <w:tcW w:w="9199" w:type="dxa"/>
            <w:gridSpan w:val="8"/>
            <w:tcBorders>
              <w:top w:val="single" w:sz="2" w:space="0" w:color="000000" w:themeColor="text1"/>
              <w:bottom w:val="single" w:sz="2" w:space="0" w:color="000000" w:themeColor="text1"/>
            </w:tcBorders>
          </w:tcPr>
          <w:p w14:paraId="173F94B5" w14:textId="77777777" w:rsidR="00410185" w:rsidRPr="00CC60E5" w:rsidRDefault="00410185" w:rsidP="00D7242D">
            <w:pPr>
              <w:jc w:val="center"/>
              <w:rPr>
                <w:rFonts w:ascii="Arial" w:hAnsi="Arial" w:cs="Arial"/>
              </w:rPr>
            </w:pPr>
            <w:r w:rsidRPr="00CC60E5">
              <w:rPr>
                <w:rFonts w:ascii="Arial" w:hAnsi="Arial" w:cs="Arial"/>
                <w:i/>
                <w:iCs/>
              </w:rPr>
              <w:t>Sur un an (fév. 202</w:t>
            </w:r>
            <w:r>
              <w:rPr>
                <w:rFonts w:ascii="Arial" w:hAnsi="Arial" w:cs="Arial"/>
                <w:i/>
                <w:iCs/>
              </w:rPr>
              <w:t>3</w:t>
            </w:r>
            <w:r w:rsidRPr="00CC60E5">
              <w:rPr>
                <w:rFonts w:ascii="Arial" w:hAnsi="Arial" w:cs="Arial"/>
                <w:i/>
                <w:iCs/>
              </w:rPr>
              <w:t xml:space="preserve"> → jan. 202</w:t>
            </w:r>
            <w:r>
              <w:rPr>
                <w:rFonts w:ascii="Arial" w:hAnsi="Arial" w:cs="Arial"/>
                <w:i/>
                <w:iCs/>
              </w:rPr>
              <w:t>4</w:t>
            </w:r>
            <w:r w:rsidRPr="00CC60E5">
              <w:rPr>
                <w:rFonts w:ascii="Arial" w:hAnsi="Arial" w:cs="Arial"/>
                <w:i/>
                <w:iCs/>
              </w:rPr>
              <w:t xml:space="preserve"> / fév. 202</w:t>
            </w:r>
            <w:r>
              <w:rPr>
                <w:rFonts w:ascii="Arial" w:hAnsi="Arial" w:cs="Arial"/>
                <w:i/>
                <w:iCs/>
              </w:rPr>
              <w:t>2</w:t>
            </w:r>
            <w:r w:rsidRPr="00CC60E5">
              <w:rPr>
                <w:rFonts w:ascii="Arial" w:hAnsi="Arial" w:cs="Arial"/>
                <w:i/>
                <w:iCs/>
              </w:rPr>
              <w:t xml:space="preserve"> → jan. 202</w:t>
            </w:r>
            <w:r>
              <w:rPr>
                <w:rFonts w:ascii="Arial" w:hAnsi="Arial" w:cs="Arial"/>
                <w:i/>
                <w:iCs/>
              </w:rPr>
              <w:t>3</w:t>
            </w:r>
            <w:r w:rsidRPr="00CC60E5">
              <w:rPr>
                <w:rFonts w:ascii="Arial" w:hAnsi="Arial" w:cs="Arial"/>
                <w:i/>
                <w:iCs/>
              </w:rPr>
              <w:t>)</w:t>
            </w:r>
          </w:p>
        </w:tc>
      </w:tr>
      <w:tr w:rsidR="00410185" w:rsidRPr="003F79C3" w14:paraId="658CF14F" w14:textId="77777777" w:rsidTr="00D7242D">
        <w:tc>
          <w:tcPr>
            <w:tcW w:w="2112" w:type="dxa"/>
            <w:tcBorders>
              <w:top w:val="single" w:sz="2" w:space="0" w:color="000000" w:themeColor="text1"/>
              <w:bottom w:val="dashSmallGap" w:sz="4" w:space="0" w:color="000000" w:themeColor="text1"/>
            </w:tcBorders>
          </w:tcPr>
          <w:p w14:paraId="034193BE" w14:textId="77777777" w:rsidR="00410185" w:rsidRPr="00CC60E5" w:rsidRDefault="00410185" w:rsidP="00D7242D">
            <w:pPr>
              <w:jc w:val="both"/>
              <w:rPr>
                <w:rFonts w:ascii="Arial" w:hAnsi="Arial" w:cs="Arial"/>
              </w:rPr>
            </w:pPr>
            <w:r w:rsidRPr="00CC60E5">
              <w:rPr>
                <w:rFonts w:ascii="Arial" w:hAnsi="Arial" w:cs="Arial"/>
              </w:rPr>
              <w:t>Autorisations</w:t>
            </w:r>
          </w:p>
        </w:tc>
        <w:tc>
          <w:tcPr>
            <w:tcW w:w="992" w:type="dxa"/>
            <w:tcBorders>
              <w:top w:val="single" w:sz="2" w:space="0" w:color="000000" w:themeColor="text1"/>
              <w:bottom w:val="dashSmallGap" w:sz="4" w:space="0" w:color="000000" w:themeColor="text1"/>
            </w:tcBorders>
          </w:tcPr>
          <w:p w14:paraId="05CD8C4F" w14:textId="77777777" w:rsidR="00410185" w:rsidRPr="00CC60E5" w:rsidRDefault="00410185" w:rsidP="00D7242D">
            <w:pPr>
              <w:jc w:val="center"/>
              <w:rPr>
                <w:rFonts w:ascii="Arial" w:hAnsi="Arial" w:cs="Arial"/>
              </w:rPr>
            </w:pPr>
            <w:r>
              <w:rPr>
                <w:rFonts w:ascii="Arial" w:hAnsi="Arial" w:cs="Arial"/>
              </w:rPr>
              <w:t>-13,8 %</w:t>
            </w:r>
          </w:p>
        </w:tc>
        <w:tc>
          <w:tcPr>
            <w:tcW w:w="992" w:type="dxa"/>
            <w:tcBorders>
              <w:top w:val="single" w:sz="2" w:space="0" w:color="000000" w:themeColor="text1"/>
              <w:bottom w:val="dashSmallGap" w:sz="4" w:space="0" w:color="000000" w:themeColor="text1"/>
            </w:tcBorders>
          </w:tcPr>
          <w:p w14:paraId="398C7397" w14:textId="77777777" w:rsidR="00410185" w:rsidRPr="00CC60E5" w:rsidRDefault="00410185" w:rsidP="00D7242D">
            <w:pPr>
              <w:jc w:val="center"/>
              <w:rPr>
                <w:rFonts w:ascii="Arial" w:hAnsi="Arial" w:cs="Arial"/>
              </w:rPr>
            </w:pPr>
            <w:r>
              <w:rPr>
                <w:rFonts w:ascii="Arial" w:hAnsi="Arial" w:cs="Arial"/>
              </w:rPr>
              <w:t>-9,9 %</w:t>
            </w:r>
          </w:p>
        </w:tc>
        <w:tc>
          <w:tcPr>
            <w:tcW w:w="992" w:type="dxa"/>
            <w:tcBorders>
              <w:top w:val="single" w:sz="2" w:space="0" w:color="000000" w:themeColor="text1"/>
              <w:bottom w:val="dashSmallGap" w:sz="4" w:space="0" w:color="000000" w:themeColor="text1"/>
            </w:tcBorders>
          </w:tcPr>
          <w:p w14:paraId="5C3B3DDD" w14:textId="77777777" w:rsidR="00410185" w:rsidRPr="00CC60E5" w:rsidRDefault="00410185" w:rsidP="00D7242D">
            <w:pPr>
              <w:jc w:val="center"/>
              <w:rPr>
                <w:rFonts w:ascii="Arial" w:hAnsi="Arial" w:cs="Arial"/>
              </w:rPr>
            </w:pPr>
            <w:r>
              <w:rPr>
                <w:rFonts w:ascii="Arial" w:hAnsi="Arial" w:cs="Arial"/>
              </w:rPr>
              <w:t>-4,6 %</w:t>
            </w:r>
          </w:p>
        </w:tc>
        <w:tc>
          <w:tcPr>
            <w:tcW w:w="992" w:type="dxa"/>
            <w:tcBorders>
              <w:top w:val="single" w:sz="2" w:space="0" w:color="000000" w:themeColor="text1"/>
              <w:bottom w:val="dashSmallGap" w:sz="4" w:space="0" w:color="000000" w:themeColor="text1"/>
            </w:tcBorders>
          </w:tcPr>
          <w:p w14:paraId="67C125EB" w14:textId="77777777" w:rsidR="00410185" w:rsidRPr="00CC60E5" w:rsidRDefault="00410185" w:rsidP="00D7242D">
            <w:pPr>
              <w:jc w:val="center"/>
              <w:rPr>
                <w:rFonts w:ascii="Arial" w:hAnsi="Arial" w:cs="Arial"/>
              </w:rPr>
            </w:pPr>
            <w:r>
              <w:rPr>
                <w:rFonts w:ascii="Arial" w:hAnsi="Arial" w:cs="Arial"/>
              </w:rPr>
              <w:t>-21,6 %</w:t>
            </w:r>
          </w:p>
        </w:tc>
        <w:tc>
          <w:tcPr>
            <w:tcW w:w="992" w:type="dxa"/>
            <w:tcBorders>
              <w:top w:val="single" w:sz="2" w:space="0" w:color="000000" w:themeColor="text1"/>
              <w:bottom w:val="dashSmallGap" w:sz="4" w:space="0" w:color="000000" w:themeColor="text1"/>
            </w:tcBorders>
          </w:tcPr>
          <w:p w14:paraId="77D89204" w14:textId="77777777" w:rsidR="00410185" w:rsidRPr="00CC60E5" w:rsidRDefault="00410185" w:rsidP="00D7242D">
            <w:pPr>
              <w:jc w:val="center"/>
              <w:rPr>
                <w:rFonts w:ascii="Arial" w:hAnsi="Arial" w:cs="Arial"/>
              </w:rPr>
            </w:pPr>
            <w:r>
              <w:rPr>
                <w:rFonts w:ascii="Arial" w:hAnsi="Arial" w:cs="Arial"/>
              </w:rPr>
              <w:t>-7,1 %</w:t>
            </w:r>
          </w:p>
        </w:tc>
        <w:tc>
          <w:tcPr>
            <w:tcW w:w="1135" w:type="dxa"/>
            <w:tcBorders>
              <w:top w:val="single" w:sz="2" w:space="0" w:color="000000" w:themeColor="text1"/>
              <w:bottom w:val="dashSmallGap" w:sz="4" w:space="0" w:color="000000" w:themeColor="text1"/>
            </w:tcBorders>
          </w:tcPr>
          <w:p w14:paraId="4A66A800" w14:textId="77777777" w:rsidR="00410185" w:rsidRPr="00CC60E5" w:rsidRDefault="00410185" w:rsidP="00D7242D">
            <w:pPr>
              <w:jc w:val="center"/>
              <w:rPr>
                <w:rFonts w:ascii="Arial" w:hAnsi="Arial" w:cs="Arial"/>
              </w:rPr>
            </w:pPr>
            <w:r>
              <w:rPr>
                <w:rFonts w:ascii="Arial" w:hAnsi="Arial" w:cs="Arial"/>
              </w:rPr>
              <w:t>-1,7 %</w:t>
            </w:r>
          </w:p>
        </w:tc>
        <w:tc>
          <w:tcPr>
            <w:tcW w:w="992" w:type="dxa"/>
            <w:tcBorders>
              <w:top w:val="single" w:sz="2" w:space="0" w:color="000000" w:themeColor="text1"/>
              <w:bottom w:val="dashSmallGap" w:sz="4" w:space="0" w:color="000000" w:themeColor="text1"/>
            </w:tcBorders>
          </w:tcPr>
          <w:p w14:paraId="5F47EE47" w14:textId="77777777" w:rsidR="00410185" w:rsidRPr="00CC60E5" w:rsidRDefault="00410185" w:rsidP="00D7242D">
            <w:pPr>
              <w:jc w:val="center"/>
              <w:rPr>
                <w:rFonts w:ascii="Arial" w:hAnsi="Arial" w:cs="Arial"/>
              </w:rPr>
            </w:pPr>
            <w:r>
              <w:rPr>
                <w:rFonts w:ascii="Arial" w:hAnsi="Arial" w:cs="Arial"/>
              </w:rPr>
              <w:t>-8,0 %</w:t>
            </w:r>
          </w:p>
        </w:tc>
      </w:tr>
      <w:tr w:rsidR="00410185" w:rsidRPr="003F79C3" w14:paraId="63DCE716" w14:textId="77777777" w:rsidTr="00D7242D">
        <w:tc>
          <w:tcPr>
            <w:tcW w:w="2112" w:type="dxa"/>
            <w:tcBorders>
              <w:top w:val="dashSmallGap" w:sz="4" w:space="0" w:color="000000" w:themeColor="text1"/>
              <w:bottom w:val="single" w:sz="12" w:space="0" w:color="000000" w:themeColor="text1"/>
            </w:tcBorders>
          </w:tcPr>
          <w:p w14:paraId="6B124388" w14:textId="77777777" w:rsidR="00410185" w:rsidRPr="00CC60E5" w:rsidRDefault="00410185" w:rsidP="00D7242D">
            <w:pPr>
              <w:jc w:val="both"/>
              <w:rPr>
                <w:rFonts w:ascii="Arial" w:hAnsi="Arial" w:cs="Arial"/>
              </w:rPr>
            </w:pPr>
            <w:r w:rsidRPr="00CC60E5">
              <w:rPr>
                <w:rFonts w:ascii="Arial" w:hAnsi="Arial" w:cs="Arial"/>
              </w:rPr>
              <w:t>Mises en chantier</w:t>
            </w:r>
          </w:p>
        </w:tc>
        <w:tc>
          <w:tcPr>
            <w:tcW w:w="992" w:type="dxa"/>
            <w:tcBorders>
              <w:top w:val="dashSmallGap" w:sz="4" w:space="0" w:color="000000" w:themeColor="text1"/>
              <w:bottom w:val="single" w:sz="12" w:space="0" w:color="000000" w:themeColor="text1"/>
            </w:tcBorders>
          </w:tcPr>
          <w:p w14:paraId="36B59E76" w14:textId="77777777" w:rsidR="00410185" w:rsidRPr="00CC60E5" w:rsidRDefault="00410185" w:rsidP="00D7242D">
            <w:pPr>
              <w:jc w:val="center"/>
              <w:rPr>
                <w:rFonts w:ascii="Arial" w:hAnsi="Arial" w:cs="Arial"/>
              </w:rPr>
            </w:pPr>
            <w:r>
              <w:rPr>
                <w:rFonts w:ascii="Arial" w:hAnsi="Arial" w:cs="Arial"/>
              </w:rPr>
              <w:t>-23,2 %</w:t>
            </w:r>
          </w:p>
        </w:tc>
        <w:tc>
          <w:tcPr>
            <w:tcW w:w="992" w:type="dxa"/>
            <w:tcBorders>
              <w:top w:val="dashSmallGap" w:sz="4" w:space="0" w:color="000000" w:themeColor="text1"/>
              <w:bottom w:val="single" w:sz="12" w:space="0" w:color="000000" w:themeColor="text1"/>
            </w:tcBorders>
          </w:tcPr>
          <w:p w14:paraId="708CD7A0" w14:textId="77777777" w:rsidR="00410185" w:rsidRPr="00CC60E5" w:rsidRDefault="00410185" w:rsidP="00D7242D">
            <w:pPr>
              <w:jc w:val="center"/>
              <w:rPr>
                <w:rFonts w:ascii="Arial" w:hAnsi="Arial" w:cs="Arial"/>
              </w:rPr>
            </w:pPr>
            <w:r>
              <w:rPr>
                <w:rFonts w:ascii="Arial" w:hAnsi="Arial" w:cs="Arial"/>
              </w:rPr>
              <w:t>-16,3 %</w:t>
            </w:r>
          </w:p>
        </w:tc>
        <w:tc>
          <w:tcPr>
            <w:tcW w:w="992" w:type="dxa"/>
            <w:tcBorders>
              <w:top w:val="dashSmallGap" w:sz="4" w:space="0" w:color="000000" w:themeColor="text1"/>
              <w:bottom w:val="single" w:sz="12" w:space="0" w:color="000000" w:themeColor="text1"/>
            </w:tcBorders>
          </w:tcPr>
          <w:p w14:paraId="66390F42" w14:textId="77777777" w:rsidR="00410185" w:rsidRPr="00CC60E5" w:rsidRDefault="00410185" w:rsidP="00D7242D">
            <w:pPr>
              <w:jc w:val="center"/>
              <w:rPr>
                <w:rFonts w:ascii="Arial" w:hAnsi="Arial" w:cs="Arial"/>
              </w:rPr>
            </w:pPr>
            <w:r>
              <w:rPr>
                <w:rFonts w:ascii="Arial" w:hAnsi="Arial" w:cs="Arial"/>
              </w:rPr>
              <w:t>-16,5 %</w:t>
            </w:r>
          </w:p>
        </w:tc>
        <w:tc>
          <w:tcPr>
            <w:tcW w:w="992" w:type="dxa"/>
            <w:tcBorders>
              <w:top w:val="dashSmallGap" w:sz="4" w:space="0" w:color="000000" w:themeColor="text1"/>
              <w:bottom w:val="single" w:sz="12" w:space="0" w:color="000000" w:themeColor="text1"/>
            </w:tcBorders>
          </w:tcPr>
          <w:p w14:paraId="360B33D0" w14:textId="77777777" w:rsidR="00410185" w:rsidRPr="00CC60E5" w:rsidRDefault="00410185" w:rsidP="00D7242D">
            <w:pPr>
              <w:jc w:val="center"/>
              <w:rPr>
                <w:rFonts w:ascii="Arial" w:hAnsi="Arial" w:cs="Arial"/>
              </w:rPr>
            </w:pPr>
            <w:r>
              <w:rPr>
                <w:rFonts w:ascii="Arial" w:hAnsi="Arial" w:cs="Arial"/>
              </w:rPr>
              <w:t>-11,3 %</w:t>
            </w:r>
          </w:p>
        </w:tc>
        <w:tc>
          <w:tcPr>
            <w:tcW w:w="992" w:type="dxa"/>
            <w:tcBorders>
              <w:top w:val="dashSmallGap" w:sz="4" w:space="0" w:color="000000" w:themeColor="text1"/>
              <w:bottom w:val="single" w:sz="12" w:space="0" w:color="000000" w:themeColor="text1"/>
            </w:tcBorders>
          </w:tcPr>
          <w:p w14:paraId="66CF8E6C" w14:textId="77777777" w:rsidR="00410185" w:rsidRPr="00CC60E5" w:rsidRDefault="00410185" w:rsidP="00D7242D">
            <w:pPr>
              <w:jc w:val="center"/>
              <w:rPr>
                <w:rFonts w:ascii="Arial" w:hAnsi="Arial" w:cs="Arial"/>
              </w:rPr>
            </w:pPr>
            <w:r>
              <w:rPr>
                <w:rFonts w:ascii="Arial" w:hAnsi="Arial" w:cs="Arial"/>
              </w:rPr>
              <w:t>-23,6 %</w:t>
            </w:r>
          </w:p>
        </w:tc>
        <w:tc>
          <w:tcPr>
            <w:tcW w:w="1135" w:type="dxa"/>
            <w:tcBorders>
              <w:top w:val="dashSmallGap" w:sz="4" w:space="0" w:color="000000" w:themeColor="text1"/>
              <w:bottom w:val="single" w:sz="12" w:space="0" w:color="000000" w:themeColor="text1"/>
            </w:tcBorders>
          </w:tcPr>
          <w:p w14:paraId="4397B999" w14:textId="77777777" w:rsidR="00410185" w:rsidRPr="00CC60E5" w:rsidRDefault="00410185" w:rsidP="00D7242D">
            <w:pPr>
              <w:jc w:val="center"/>
              <w:rPr>
                <w:rFonts w:ascii="Arial" w:hAnsi="Arial" w:cs="Arial"/>
              </w:rPr>
            </w:pPr>
            <w:r>
              <w:rPr>
                <w:rFonts w:ascii="Arial" w:hAnsi="Arial" w:cs="Arial"/>
              </w:rPr>
              <w:t>-2,0 %</w:t>
            </w:r>
          </w:p>
        </w:tc>
        <w:tc>
          <w:tcPr>
            <w:tcW w:w="992" w:type="dxa"/>
            <w:tcBorders>
              <w:top w:val="dashSmallGap" w:sz="4" w:space="0" w:color="000000" w:themeColor="text1"/>
              <w:bottom w:val="single" w:sz="12" w:space="0" w:color="000000" w:themeColor="text1"/>
            </w:tcBorders>
          </w:tcPr>
          <w:p w14:paraId="2EB7FFCB" w14:textId="77777777" w:rsidR="00410185" w:rsidRPr="00CC60E5" w:rsidRDefault="00410185" w:rsidP="00D7242D">
            <w:pPr>
              <w:jc w:val="center"/>
              <w:rPr>
                <w:rFonts w:ascii="Arial" w:hAnsi="Arial" w:cs="Arial"/>
              </w:rPr>
            </w:pPr>
            <w:r>
              <w:rPr>
                <w:rFonts w:ascii="Arial" w:hAnsi="Arial" w:cs="Arial"/>
              </w:rPr>
              <w:t>-14,7 %</w:t>
            </w:r>
          </w:p>
        </w:tc>
      </w:tr>
    </w:tbl>
    <w:p w14:paraId="6B057370" w14:textId="3888B590" w:rsidR="00BF4A51" w:rsidRDefault="00BF4A51" w:rsidP="00556EE3">
      <w:pPr>
        <w:spacing w:after="120" w:line="360" w:lineRule="auto"/>
        <w:jc w:val="center"/>
        <w:rPr>
          <w:rFonts w:ascii="Arial" w:hAnsi="Arial" w:cs="Arial"/>
          <w:i/>
          <w:sz w:val="20"/>
          <w:szCs w:val="20"/>
        </w:rPr>
      </w:pPr>
      <w:r w:rsidRPr="00CB20BC">
        <w:rPr>
          <w:rFonts w:ascii="Arial" w:hAnsi="Arial" w:cs="Arial"/>
          <w:i/>
          <w:sz w:val="20"/>
          <w:szCs w:val="20"/>
        </w:rPr>
        <w:t xml:space="preserve">Source : </w:t>
      </w:r>
      <w:r>
        <w:rPr>
          <w:rFonts w:ascii="Arial" w:hAnsi="Arial" w:cs="Arial"/>
          <w:i/>
          <w:sz w:val="20"/>
          <w:szCs w:val="20"/>
        </w:rPr>
        <w:t>FFB d’après MTE</w:t>
      </w:r>
      <w:r w:rsidR="00F0066B">
        <w:rPr>
          <w:rFonts w:ascii="Arial" w:hAnsi="Arial" w:cs="Arial"/>
          <w:i/>
          <w:sz w:val="20"/>
          <w:szCs w:val="20"/>
        </w:rPr>
        <w:t>CT</w:t>
      </w:r>
      <w:r>
        <w:rPr>
          <w:rFonts w:ascii="Arial" w:hAnsi="Arial" w:cs="Arial"/>
          <w:i/>
          <w:sz w:val="20"/>
          <w:szCs w:val="20"/>
        </w:rPr>
        <w:t>/</w:t>
      </w:r>
      <w:r w:rsidRPr="00CB20BC">
        <w:rPr>
          <w:rFonts w:ascii="Arial" w:hAnsi="Arial" w:cs="Arial"/>
          <w:i/>
          <w:sz w:val="20"/>
          <w:szCs w:val="20"/>
        </w:rPr>
        <w:t>CGDD</w:t>
      </w:r>
      <w:r>
        <w:rPr>
          <w:rFonts w:ascii="Arial" w:hAnsi="Arial" w:cs="Arial"/>
          <w:i/>
          <w:sz w:val="20"/>
          <w:szCs w:val="20"/>
        </w:rPr>
        <w:t>/SDES, Sit@del2</w:t>
      </w:r>
    </w:p>
    <w:p w14:paraId="75904E9E" w14:textId="3B05E70D" w:rsidR="007B3459" w:rsidRPr="000932E3" w:rsidRDefault="00013A86" w:rsidP="003A4577">
      <w:pPr>
        <w:spacing w:after="120" w:line="360" w:lineRule="auto"/>
        <w:jc w:val="both"/>
        <w:rPr>
          <w:rFonts w:ascii="Arial" w:hAnsi="Arial" w:cs="Arial"/>
        </w:rPr>
      </w:pPr>
      <w:r w:rsidRPr="008F200B">
        <w:rPr>
          <w:rFonts w:ascii="Arial" w:hAnsi="Arial" w:cs="Arial"/>
        </w:rPr>
        <w:t xml:space="preserve">En </w:t>
      </w:r>
      <w:r w:rsidR="00B04658" w:rsidRPr="008F200B">
        <w:rPr>
          <w:rFonts w:ascii="Arial" w:hAnsi="Arial" w:cs="Arial"/>
        </w:rPr>
        <w:t>cumul de novembre 2023 à janvier 2024 par rapport à la même période un an auparavant</w:t>
      </w:r>
      <w:r w:rsidRPr="008F200B">
        <w:rPr>
          <w:rFonts w:ascii="Arial" w:hAnsi="Arial" w:cs="Arial"/>
        </w:rPr>
        <w:t xml:space="preserve">, les surfaces commencées </w:t>
      </w:r>
      <w:r w:rsidR="005F652C" w:rsidRPr="008F200B">
        <w:rPr>
          <w:rFonts w:ascii="Arial" w:hAnsi="Arial" w:cs="Arial"/>
        </w:rPr>
        <w:t xml:space="preserve">et autorisées </w:t>
      </w:r>
      <w:r w:rsidRPr="008F200B">
        <w:rPr>
          <w:rFonts w:ascii="Arial" w:hAnsi="Arial" w:cs="Arial"/>
        </w:rPr>
        <w:t xml:space="preserve">reculent dans </w:t>
      </w:r>
      <w:r w:rsidR="00DD4A49" w:rsidRPr="008F200B">
        <w:rPr>
          <w:rFonts w:ascii="Arial" w:hAnsi="Arial" w:cs="Arial"/>
        </w:rPr>
        <w:t xml:space="preserve">près des </w:t>
      </w:r>
      <w:r w:rsidR="005F652C" w:rsidRPr="008F200B">
        <w:rPr>
          <w:rFonts w:ascii="Arial" w:hAnsi="Arial" w:cs="Arial"/>
        </w:rPr>
        <w:t>trois-quarts des</w:t>
      </w:r>
      <w:r w:rsidRPr="008F200B">
        <w:rPr>
          <w:rFonts w:ascii="Arial" w:hAnsi="Arial" w:cs="Arial"/>
        </w:rPr>
        <w:t xml:space="preserve"> régions</w:t>
      </w:r>
      <w:r w:rsidR="00383C27" w:rsidRPr="008F200B">
        <w:rPr>
          <w:rFonts w:ascii="Arial" w:hAnsi="Arial" w:cs="Arial"/>
        </w:rPr>
        <w:t xml:space="preserve"> </w:t>
      </w:r>
      <w:r w:rsidRPr="008F200B">
        <w:rPr>
          <w:rFonts w:ascii="Arial" w:hAnsi="Arial" w:cs="Arial"/>
        </w:rPr>
        <w:t>(cf. carte</w:t>
      </w:r>
      <w:r w:rsidR="005F652C" w:rsidRPr="008F200B">
        <w:rPr>
          <w:rFonts w:ascii="Arial" w:hAnsi="Arial" w:cs="Arial"/>
        </w:rPr>
        <w:t>s</w:t>
      </w:r>
      <w:r w:rsidRPr="008F200B">
        <w:rPr>
          <w:rFonts w:ascii="Arial" w:hAnsi="Arial" w:cs="Arial"/>
        </w:rPr>
        <w:t xml:space="preserve"> 3a</w:t>
      </w:r>
      <w:r w:rsidR="005F652C" w:rsidRPr="008F200B">
        <w:rPr>
          <w:rFonts w:ascii="Arial" w:hAnsi="Arial" w:cs="Arial"/>
        </w:rPr>
        <w:t xml:space="preserve"> et 3b</w:t>
      </w:r>
      <w:r w:rsidRPr="008F200B">
        <w:rPr>
          <w:rFonts w:ascii="Arial" w:hAnsi="Arial" w:cs="Arial"/>
        </w:rPr>
        <w:t>).</w:t>
      </w:r>
    </w:p>
    <w:p w14:paraId="4E87752D" w14:textId="77777777" w:rsidR="00F2288B" w:rsidRDefault="00F2288B">
      <w:pPr>
        <w:rPr>
          <w:rFonts w:ascii="Arial" w:hAnsi="Arial" w:cs="Arial"/>
        </w:rPr>
      </w:pPr>
      <w:r>
        <w:rPr>
          <w:rFonts w:ascii="Arial" w:hAnsi="Arial" w:cs="Arial"/>
        </w:rPr>
        <w:br w:type="page"/>
      </w:r>
    </w:p>
    <w:p w14:paraId="06BAFE9B" w14:textId="3C97DA70" w:rsidR="00F35149" w:rsidRPr="007440B7" w:rsidRDefault="00F35149" w:rsidP="00925312">
      <w:pPr>
        <w:spacing w:after="0" w:line="360" w:lineRule="auto"/>
        <w:jc w:val="center"/>
        <w:rPr>
          <w:rFonts w:ascii="Arial" w:hAnsi="Arial" w:cs="Arial"/>
          <w:b/>
        </w:rPr>
      </w:pPr>
      <w:r w:rsidRPr="007440B7">
        <w:rPr>
          <w:rFonts w:ascii="Arial" w:hAnsi="Arial" w:cs="Arial"/>
        </w:rPr>
        <w:lastRenderedPageBreak/>
        <w:t>Cartes 3a et 3b –</w:t>
      </w:r>
      <w:r w:rsidR="003564B2">
        <w:rPr>
          <w:rFonts w:ascii="Arial" w:hAnsi="Arial" w:cs="Arial"/>
          <w:b/>
        </w:rPr>
        <w:t xml:space="preserve"> Évolutions régionales </w:t>
      </w:r>
      <w:r w:rsidR="003564B2" w:rsidRPr="007440B7">
        <w:rPr>
          <w:rFonts w:ascii="Arial" w:hAnsi="Arial" w:cs="Arial"/>
        </w:rPr>
        <w:t>(en</w:t>
      </w:r>
      <w:r w:rsidR="00CC7623">
        <w:rPr>
          <w:rFonts w:ascii="Arial" w:hAnsi="Arial" w:cs="Arial"/>
        </w:rPr>
        <w:t> %</w:t>
      </w:r>
      <w:r w:rsidR="003564B2" w:rsidRPr="007440B7">
        <w:rPr>
          <w:rFonts w:ascii="Arial" w:hAnsi="Arial" w:cs="Arial"/>
        </w:rPr>
        <w:t>)</w:t>
      </w:r>
      <w:r w:rsidR="003564B2">
        <w:rPr>
          <w:rFonts w:ascii="Arial" w:hAnsi="Arial" w:cs="Arial"/>
        </w:rPr>
        <w:t xml:space="preserve"> </w:t>
      </w:r>
      <w:r w:rsidR="003564B2" w:rsidRPr="007440B7">
        <w:rPr>
          <w:rFonts w:ascii="Arial" w:hAnsi="Arial" w:cs="Arial"/>
          <w:b/>
        </w:rPr>
        <w:t xml:space="preserve">des surfaces commencées et autorisées de bâtiments non résidentiels </w:t>
      </w:r>
      <w:r w:rsidR="008D6EEC">
        <w:rPr>
          <w:rFonts w:ascii="Arial" w:hAnsi="Arial" w:cs="Arial"/>
          <w:b/>
        </w:rPr>
        <w:t>en glissement annuel sur trois mois à fin janvier 2024</w:t>
      </w:r>
      <w:r w:rsidR="006E7A8B">
        <w:rPr>
          <w:rFonts w:ascii="Arial" w:hAnsi="Arial" w:cs="Arial"/>
          <w:b/>
        </w:rPr>
        <w:t xml:space="preserve"> </w:t>
      </w:r>
    </w:p>
    <w:p w14:paraId="7ECFABBE" w14:textId="1CB5A8A3" w:rsidR="00F90907" w:rsidRPr="00407827" w:rsidRDefault="00E612C3" w:rsidP="003332FC">
      <w:pPr>
        <w:pBdr>
          <w:top w:val="single" w:sz="4" w:space="1" w:color="auto"/>
          <w:left w:val="single" w:sz="4" w:space="4" w:color="auto"/>
          <w:bottom w:val="single" w:sz="4" w:space="1" w:color="auto"/>
          <w:right w:val="single" w:sz="4" w:space="4" w:color="auto"/>
        </w:pBdr>
        <w:spacing w:after="60" w:line="240" w:lineRule="auto"/>
        <w:jc w:val="center"/>
        <w:rPr>
          <w:rFonts w:ascii="Arial" w:hAnsi="Arial" w:cs="Arial"/>
        </w:rPr>
      </w:pPr>
      <w:r>
        <w:rPr>
          <w:rFonts w:ascii="Arial" w:hAnsi="Arial" w:cs="Arial"/>
          <w:noProof/>
        </w:rPr>
        <w:drawing>
          <wp:inline distT="0" distB="0" distL="0" distR="0" wp14:anchorId="001327CC" wp14:editId="7CA69A55">
            <wp:extent cx="5760720" cy="2517775"/>
            <wp:effectExtent l="0" t="0" r="0" b="0"/>
            <wp:docPr id="174964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4023" name="Image 174964023"/>
                    <pic:cNvPicPr/>
                  </pic:nvPicPr>
                  <pic:blipFill>
                    <a:blip r:embed="rId25">
                      <a:extLst>
                        <a:ext uri="{28A0092B-C50C-407E-A947-70E740481C1C}">
                          <a14:useLocalDpi xmlns:a14="http://schemas.microsoft.com/office/drawing/2010/main" val="0"/>
                        </a:ext>
                      </a:extLst>
                    </a:blip>
                    <a:stretch>
                      <a:fillRect/>
                    </a:stretch>
                  </pic:blipFill>
                  <pic:spPr>
                    <a:xfrm>
                      <a:off x="0" y="0"/>
                      <a:ext cx="5760720" cy="2517775"/>
                    </a:xfrm>
                    <a:prstGeom prst="rect">
                      <a:avLst/>
                    </a:prstGeom>
                  </pic:spPr>
                </pic:pic>
              </a:graphicData>
            </a:graphic>
          </wp:inline>
        </w:drawing>
      </w:r>
    </w:p>
    <w:p w14:paraId="238705A9" w14:textId="41EA78B2" w:rsidR="00F35149" w:rsidRDefault="00F35149" w:rsidP="008C5837">
      <w:pPr>
        <w:spacing w:after="120" w:line="360" w:lineRule="auto"/>
        <w:jc w:val="center"/>
        <w:rPr>
          <w:rFonts w:ascii="Arial" w:hAnsi="Arial" w:cs="Arial"/>
          <w:i/>
          <w:sz w:val="20"/>
          <w:szCs w:val="20"/>
        </w:rPr>
      </w:pPr>
      <w:r w:rsidRPr="00767A96">
        <w:rPr>
          <w:rFonts w:ascii="Arial" w:hAnsi="Arial" w:cs="Arial"/>
          <w:i/>
          <w:sz w:val="20"/>
          <w:szCs w:val="20"/>
        </w:rPr>
        <w:t>Source : MTE</w:t>
      </w:r>
      <w:r w:rsidR="00F0066B">
        <w:rPr>
          <w:rFonts w:ascii="Arial" w:hAnsi="Arial" w:cs="Arial"/>
          <w:i/>
          <w:sz w:val="20"/>
          <w:szCs w:val="20"/>
        </w:rPr>
        <w:t>CT</w:t>
      </w:r>
      <w:r w:rsidRPr="00767A96">
        <w:rPr>
          <w:rFonts w:ascii="Arial" w:hAnsi="Arial" w:cs="Arial"/>
          <w:i/>
          <w:sz w:val="20"/>
          <w:szCs w:val="20"/>
        </w:rPr>
        <w:t>/CGDD/SDES, Sit@del2</w:t>
      </w:r>
    </w:p>
    <w:p w14:paraId="56E46518" w14:textId="57971E1B" w:rsidR="00EF2D2E" w:rsidRPr="00EA0536" w:rsidRDefault="00EF2D2E" w:rsidP="00274D97">
      <w:pPr>
        <w:spacing w:before="360" w:after="120" w:line="360" w:lineRule="auto"/>
        <w:rPr>
          <w:rFonts w:ascii="Arial" w:hAnsi="Arial" w:cs="Arial"/>
          <w:u w:val="single"/>
        </w:rPr>
      </w:pPr>
      <w:r w:rsidRPr="00EA0536">
        <w:rPr>
          <w:rFonts w:ascii="Arial" w:hAnsi="Arial" w:cs="Arial"/>
          <w:u w:val="single"/>
        </w:rPr>
        <w:t>2.3 L’amélioration-entretien</w:t>
      </w:r>
    </w:p>
    <w:p w14:paraId="0F71E2F0" w14:textId="6B038F04" w:rsidR="00AC124C" w:rsidRPr="008F200B" w:rsidRDefault="00AC124C" w:rsidP="00AC124C">
      <w:pPr>
        <w:spacing w:after="120" w:line="360" w:lineRule="auto"/>
        <w:jc w:val="both"/>
        <w:rPr>
          <w:rFonts w:ascii="Arial" w:hAnsi="Arial" w:cs="Arial"/>
        </w:rPr>
      </w:pPr>
      <w:r w:rsidRPr="000E44C9">
        <w:rPr>
          <w:rFonts w:ascii="Arial" w:hAnsi="Arial" w:cs="Arial"/>
        </w:rPr>
        <w:t xml:space="preserve">Les résultats de l’enquête sur l’activité en rénovation </w:t>
      </w:r>
      <w:r w:rsidRPr="008F200B">
        <w:rPr>
          <w:rFonts w:ascii="Arial" w:hAnsi="Arial" w:cs="Arial"/>
        </w:rPr>
        <w:t>commandée par la FFB au réseau des Cerc retracent une légère accélération de la production d’ensemble avec +2,</w:t>
      </w:r>
      <w:r w:rsidR="00C057B1" w:rsidRPr="008F200B">
        <w:rPr>
          <w:rFonts w:ascii="Arial" w:hAnsi="Arial" w:cs="Arial"/>
        </w:rPr>
        <w:t>3</w:t>
      </w:r>
      <w:r w:rsidR="000E44C9" w:rsidRPr="008F200B">
        <w:rPr>
          <w:rFonts w:ascii="Arial" w:hAnsi="Arial" w:cs="Arial"/>
        </w:rPr>
        <w:t> %</w:t>
      </w:r>
      <w:r w:rsidRPr="008F200B">
        <w:rPr>
          <w:rFonts w:ascii="Arial" w:hAnsi="Arial" w:cs="Arial"/>
        </w:rPr>
        <w:t xml:space="preserve"> en 2023</w:t>
      </w:r>
      <w:r w:rsidRPr="000E44C9">
        <w:rPr>
          <w:rFonts w:ascii="Arial" w:hAnsi="Arial" w:cs="Arial"/>
        </w:rPr>
        <w:t xml:space="preserve"> à prix constants, toutefois un peu en-deçà de l’estimation anticipée par la FFB en décembre </w:t>
      </w:r>
      <w:r w:rsidRPr="008F200B">
        <w:rPr>
          <w:rFonts w:ascii="Arial" w:hAnsi="Arial" w:cs="Arial"/>
        </w:rPr>
        <w:t>(+2,6</w:t>
      </w:r>
      <w:r w:rsidR="000E44C9" w:rsidRPr="008F200B">
        <w:rPr>
          <w:rFonts w:ascii="Arial" w:hAnsi="Arial" w:cs="Arial"/>
        </w:rPr>
        <w:t> %</w:t>
      </w:r>
      <w:r w:rsidRPr="008F200B">
        <w:rPr>
          <w:rFonts w:ascii="Arial" w:hAnsi="Arial" w:cs="Arial"/>
        </w:rPr>
        <w:t xml:space="preserve">). </w:t>
      </w:r>
    </w:p>
    <w:p w14:paraId="1F1BC7F6" w14:textId="44AED640" w:rsidR="00AC124C" w:rsidRPr="008F200B" w:rsidRDefault="000E44C9" w:rsidP="00AC124C">
      <w:pPr>
        <w:spacing w:after="120" w:line="360" w:lineRule="auto"/>
        <w:jc w:val="both"/>
        <w:rPr>
          <w:rFonts w:ascii="Arial" w:hAnsi="Arial" w:cs="Arial"/>
        </w:rPr>
      </w:pPr>
      <w:r w:rsidRPr="008F200B">
        <w:rPr>
          <w:rFonts w:ascii="Arial" w:hAnsi="Arial" w:cs="Arial"/>
        </w:rPr>
        <w:t>L</w:t>
      </w:r>
      <w:r w:rsidR="00AC124C" w:rsidRPr="008F200B">
        <w:rPr>
          <w:rFonts w:ascii="Arial" w:hAnsi="Arial" w:cs="Arial"/>
        </w:rPr>
        <w:t xml:space="preserve">es évolutions ressortent </w:t>
      </w:r>
      <w:r w:rsidR="00EE67C5" w:rsidRPr="008F200B">
        <w:rPr>
          <w:rFonts w:ascii="Arial" w:hAnsi="Arial" w:cs="Arial"/>
        </w:rPr>
        <w:t>proches</w:t>
      </w:r>
      <w:r w:rsidR="00AC124C" w:rsidRPr="008F200B">
        <w:rPr>
          <w:rFonts w:ascii="Arial" w:hAnsi="Arial" w:cs="Arial"/>
        </w:rPr>
        <w:t xml:space="preserve"> entre le logement et le non résidentiel, </w:t>
      </w:r>
      <w:r w:rsidR="008F200B" w:rsidRPr="008F200B">
        <w:rPr>
          <w:rFonts w:ascii="Arial" w:hAnsi="Arial" w:cs="Arial"/>
        </w:rPr>
        <w:t>avec respectivement +2,2 % et</w:t>
      </w:r>
      <w:r w:rsidR="00AC124C" w:rsidRPr="008F200B">
        <w:rPr>
          <w:rFonts w:ascii="Arial" w:hAnsi="Arial" w:cs="Arial"/>
        </w:rPr>
        <w:t xml:space="preserve"> +2,4</w:t>
      </w:r>
      <w:r w:rsidRPr="008F200B">
        <w:rPr>
          <w:rFonts w:ascii="Arial" w:hAnsi="Arial" w:cs="Arial"/>
        </w:rPr>
        <w:t> %</w:t>
      </w:r>
      <w:r w:rsidR="008F200B" w:rsidRPr="008F200B">
        <w:rPr>
          <w:rFonts w:ascii="Arial" w:hAnsi="Arial" w:cs="Arial"/>
        </w:rPr>
        <w:t xml:space="preserve"> en volume</w:t>
      </w:r>
      <w:r w:rsidR="00AC124C" w:rsidRPr="008F200B">
        <w:rPr>
          <w:rFonts w:ascii="Arial" w:hAnsi="Arial" w:cs="Arial"/>
        </w:rPr>
        <w:t xml:space="preserve">. Par ailleurs, la rénovation énergétique a progressé </w:t>
      </w:r>
      <w:r w:rsidR="002D4768" w:rsidRPr="008F200B">
        <w:rPr>
          <w:rFonts w:ascii="Arial" w:hAnsi="Arial" w:cs="Arial"/>
        </w:rPr>
        <w:t xml:space="preserve">quasiment </w:t>
      </w:r>
      <w:r w:rsidR="00AC124C" w:rsidRPr="008F200B">
        <w:rPr>
          <w:rFonts w:ascii="Arial" w:hAnsi="Arial" w:cs="Arial"/>
        </w:rPr>
        <w:t>au même rythme que l’ensemble en 2023, soit +2,2</w:t>
      </w:r>
      <w:r w:rsidRPr="008F200B">
        <w:rPr>
          <w:rFonts w:ascii="Arial" w:hAnsi="Arial" w:cs="Arial"/>
        </w:rPr>
        <w:t> %</w:t>
      </w:r>
      <w:r w:rsidR="00AC124C" w:rsidRPr="008F200B">
        <w:rPr>
          <w:rFonts w:ascii="Arial" w:hAnsi="Arial" w:cs="Arial"/>
        </w:rPr>
        <w:t xml:space="preserve">, </w:t>
      </w:r>
      <w:r w:rsidRPr="008F200B">
        <w:rPr>
          <w:rFonts w:ascii="Arial" w:hAnsi="Arial" w:cs="Arial"/>
        </w:rPr>
        <w:t>donc</w:t>
      </w:r>
      <w:r w:rsidR="00AC124C" w:rsidRPr="008F200B">
        <w:rPr>
          <w:rFonts w:ascii="Arial" w:hAnsi="Arial" w:cs="Arial"/>
        </w:rPr>
        <w:t xml:space="preserve"> 0,4 </w:t>
      </w:r>
      <w:proofErr w:type="spellStart"/>
      <w:r w:rsidR="00232375">
        <w:rPr>
          <w:rFonts w:ascii="Arial" w:hAnsi="Arial" w:cs="Arial"/>
        </w:rPr>
        <w:t>ppct</w:t>
      </w:r>
      <w:proofErr w:type="spellEnd"/>
      <w:r w:rsidR="00AC124C" w:rsidRPr="008F200B">
        <w:rPr>
          <w:rFonts w:ascii="Arial" w:hAnsi="Arial" w:cs="Arial"/>
        </w:rPr>
        <w:t xml:space="preserve"> au-dessus de la hausse de 2022. </w:t>
      </w:r>
      <w:r w:rsidRPr="008F200B">
        <w:rPr>
          <w:rFonts w:ascii="Arial" w:hAnsi="Arial" w:cs="Arial"/>
        </w:rPr>
        <w:t>Sur ce segment de marché</w:t>
      </w:r>
      <w:r w:rsidR="00AC124C" w:rsidRPr="008F200B">
        <w:rPr>
          <w:rFonts w:ascii="Arial" w:hAnsi="Arial" w:cs="Arial"/>
        </w:rPr>
        <w:t xml:space="preserve">, le non résidentiel </w:t>
      </w:r>
      <w:r w:rsidRPr="008F200B">
        <w:rPr>
          <w:rFonts w:ascii="Arial" w:hAnsi="Arial" w:cs="Arial"/>
        </w:rPr>
        <w:t>surperforme</w:t>
      </w:r>
      <w:r w:rsidR="00AC124C" w:rsidRPr="008F200B">
        <w:rPr>
          <w:rFonts w:ascii="Arial" w:hAnsi="Arial" w:cs="Arial"/>
        </w:rPr>
        <w:t xml:space="preserve"> le logement</w:t>
      </w:r>
      <w:r w:rsidR="00F90185" w:rsidRPr="008F200B">
        <w:rPr>
          <w:rFonts w:ascii="Arial" w:hAnsi="Arial" w:cs="Arial"/>
        </w:rPr>
        <w:t xml:space="preserve">, avec +2,8 % </w:t>
      </w:r>
      <w:r w:rsidR="00F90185" w:rsidRPr="008F200B">
        <w:rPr>
          <w:rFonts w:ascii="Arial" w:hAnsi="Arial" w:cs="Arial"/>
          <w:i/>
          <w:iCs/>
        </w:rPr>
        <w:t>versus</w:t>
      </w:r>
      <w:r w:rsidR="00AC124C" w:rsidRPr="008F200B">
        <w:rPr>
          <w:rFonts w:ascii="Arial" w:hAnsi="Arial" w:cs="Arial"/>
        </w:rPr>
        <w:t xml:space="preserve"> +2,1</w:t>
      </w:r>
      <w:r w:rsidRPr="008F200B">
        <w:rPr>
          <w:rFonts w:ascii="Arial" w:hAnsi="Arial" w:cs="Arial"/>
        </w:rPr>
        <w:t> %</w:t>
      </w:r>
      <w:r w:rsidR="00AC124C" w:rsidRPr="008F200B">
        <w:rPr>
          <w:rFonts w:ascii="Arial" w:hAnsi="Arial" w:cs="Arial"/>
        </w:rPr>
        <w:t>.</w:t>
      </w:r>
    </w:p>
    <w:p w14:paraId="2C0E041A" w14:textId="234103F2" w:rsidR="00773E83" w:rsidRPr="00A0376C" w:rsidRDefault="00AC124C" w:rsidP="00AC124C">
      <w:pPr>
        <w:spacing w:after="120" w:line="360" w:lineRule="auto"/>
        <w:jc w:val="both"/>
        <w:rPr>
          <w:rFonts w:ascii="Arial" w:hAnsi="Arial" w:cs="Arial"/>
        </w:rPr>
      </w:pPr>
      <w:r w:rsidRPr="008F200B">
        <w:rPr>
          <w:rFonts w:ascii="Arial" w:hAnsi="Arial" w:cs="Arial"/>
        </w:rPr>
        <w:t>De manière plus conjoncturelle, l’activité en amélioration-entretien ralentit en glissement annuel sur le quatrième trimestre 2023, à +2,</w:t>
      </w:r>
      <w:r w:rsidR="00C057B1" w:rsidRPr="008F200B">
        <w:rPr>
          <w:rFonts w:ascii="Arial" w:hAnsi="Arial" w:cs="Arial"/>
        </w:rPr>
        <w:t>6</w:t>
      </w:r>
      <w:r w:rsidR="000E44C9" w:rsidRPr="008F200B">
        <w:rPr>
          <w:rFonts w:ascii="Arial" w:hAnsi="Arial" w:cs="Arial"/>
        </w:rPr>
        <w:t> %</w:t>
      </w:r>
      <w:r w:rsidRPr="008F200B">
        <w:rPr>
          <w:rFonts w:ascii="Arial" w:hAnsi="Arial" w:cs="Arial"/>
        </w:rPr>
        <w:t xml:space="preserve"> contre +3,0</w:t>
      </w:r>
      <w:r w:rsidR="000E44C9" w:rsidRPr="008F200B">
        <w:rPr>
          <w:rFonts w:ascii="Arial" w:hAnsi="Arial" w:cs="Arial"/>
        </w:rPr>
        <w:t> %</w:t>
      </w:r>
      <w:r w:rsidRPr="008F200B">
        <w:rPr>
          <w:rFonts w:ascii="Arial" w:hAnsi="Arial" w:cs="Arial"/>
        </w:rPr>
        <w:t xml:space="preserve"> au trimestre précédent (cf. graphique 1</w:t>
      </w:r>
      <w:r w:rsidR="001E47F3" w:rsidRPr="008F200B">
        <w:rPr>
          <w:rFonts w:ascii="Arial" w:hAnsi="Arial" w:cs="Arial"/>
        </w:rPr>
        <w:t>3</w:t>
      </w:r>
      <w:r w:rsidRPr="008F200B">
        <w:rPr>
          <w:rFonts w:ascii="Arial" w:hAnsi="Arial" w:cs="Arial"/>
        </w:rPr>
        <w:t>). Le tassement du non résidentiel (+</w:t>
      </w:r>
      <w:r w:rsidR="00C057B1" w:rsidRPr="008F200B">
        <w:rPr>
          <w:rFonts w:ascii="Arial" w:hAnsi="Arial" w:cs="Arial"/>
        </w:rPr>
        <w:t>2</w:t>
      </w:r>
      <w:r w:rsidRPr="008F200B">
        <w:rPr>
          <w:rFonts w:ascii="Arial" w:hAnsi="Arial" w:cs="Arial"/>
        </w:rPr>
        <w:t>,</w:t>
      </w:r>
      <w:r w:rsidR="00C057B1" w:rsidRPr="008F200B">
        <w:rPr>
          <w:rFonts w:ascii="Arial" w:hAnsi="Arial" w:cs="Arial"/>
        </w:rPr>
        <w:t>2</w:t>
      </w:r>
      <w:r w:rsidR="000E44C9" w:rsidRPr="008F200B">
        <w:rPr>
          <w:rFonts w:ascii="Arial" w:hAnsi="Arial" w:cs="Arial"/>
        </w:rPr>
        <w:t> %</w:t>
      </w:r>
      <w:r w:rsidRPr="008F200B">
        <w:rPr>
          <w:rFonts w:ascii="Arial" w:hAnsi="Arial" w:cs="Arial"/>
        </w:rPr>
        <w:t xml:space="preserve"> </w:t>
      </w:r>
      <w:r w:rsidRPr="00015D32">
        <w:rPr>
          <w:rFonts w:ascii="Arial" w:hAnsi="Arial" w:cs="Arial"/>
          <w:i/>
          <w:iCs/>
        </w:rPr>
        <w:t>versus</w:t>
      </w:r>
      <w:r w:rsidRPr="008F200B">
        <w:rPr>
          <w:rFonts w:ascii="Arial" w:hAnsi="Arial" w:cs="Arial"/>
        </w:rPr>
        <w:t xml:space="preserve"> +3,9</w:t>
      </w:r>
      <w:r w:rsidR="000E44C9" w:rsidRPr="008F200B">
        <w:rPr>
          <w:rFonts w:ascii="Arial" w:hAnsi="Arial" w:cs="Arial"/>
        </w:rPr>
        <w:t> %</w:t>
      </w:r>
      <w:r w:rsidRPr="008F200B">
        <w:rPr>
          <w:rFonts w:ascii="Arial" w:hAnsi="Arial" w:cs="Arial"/>
        </w:rPr>
        <w:t xml:space="preserve">) l’explique largement, alors que la </w:t>
      </w:r>
      <w:r w:rsidR="008F200B" w:rsidRPr="008F200B">
        <w:rPr>
          <w:rFonts w:ascii="Arial" w:hAnsi="Arial" w:cs="Arial"/>
        </w:rPr>
        <w:t>hausse</w:t>
      </w:r>
      <w:r w:rsidRPr="008F200B">
        <w:rPr>
          <w:rFonts w:ascii="Arial" w:hAnsi="Arial" w:cs="Arial"/>
        </w:rPr>
        <w:t xml:space="preserve"> d</w:t>
      </w:r>
      <w:r w:rsidR="008F200B" w:rsidRPr="008F200B">
        <w:rPr>
          <w:rFonts w:ascii="Arial" w:hAnsi="Arial" w:cs="Arial"/>
        </w:rPr>
        <w:t>ans le</w:t>
      </w:r>
      <w:r w:rsidRPr="008F200B">
        <w:rPr>
          <w:rFonts w:ascii="Arial" w:hAnsi="Arial" w:cs="Arial"/>
        </w:rPr>
        <w:t xml:space="preserve"> logement perdure </w:t>
      </w:r>
      <w:r w:rsidR="00C057B1" w:rsidRPr="008F200B">
        <w:rPr>
          <w:rFonts w:ascii="Arial" w:hAnsi="Arial" w:cs="Arial"/>
        </w:rPr>
        <w:t xml:space="preserve">à quasi-même rythme </w:t>
      </w:r>
      <w:r w:rsidRPr="008F200B">
        <w:rPr>
          <w:rFonts w:ascii="Arial" w:hAnsi="Arial" w:cs="Arial"/>
        </w:rPr>
        <w:t>(+2,</w:t>
      </w:r>
      <w:r w:rsidR="00C057B1" w:rsidRPr="008F200B">
        <w:rPr>
          <w:rFonts w:ascii="Arial" w:hAnsi="Arial" w:cs="Arial"/>
        </w:rPr>
        <w:t>8</w:t>
      </w:r>
      <w:r w:rsidR="000E44C9" w:rsidRPr="008F200B">
        <w:rPr>
          <w:rFonts w:ascii="Arial" w:hAnsi="Arial" w:cs="Arial"/>
        </w:rPr>
        <w:t> %</w:t>
      </w:r>
      <w:r w:rsidRPr="008F200B">
        <w:rPr>
          <w:rFonts w:ascii="Arial" w:hAnsi="Arial" w:cs="Arial"/>
        </w:rPr>
        <w:t xml:space="preserve"> contre +2,7</w:t>
      </w:r>
      <w:r w:rsidR="000E44C9" w:rsidRPr="008F200B">
        <w:rPr>
          <w:rFonts w:ascii="Arial" w:hAnsi="Arial" w:cs="Arial"/>
        </w:rPr>
        <w:t> %</w:t>
      </w:r>
      <w:r w:rsidRPr="008F200B">
        <w:rPr>
          <w:rFonts w:ascii="Arial" w:hAnsi="Arial" w:cs="Arial"/>
        </w:rPr>
        <w:t>). La rénovation énergétique n’échappe pas au ralentissement de l’activité, à +</w:t>
      </w:r>
      <w:r w:rsidR="00C057B1" w:rsidRPr="008F200B">
        <w:rPr>
          <w:rFonts w:ascii="Arial" w:hAnsi="Arial" w:cs="Arial"/>
        </w:rPr>
        <w:t>2</w:t>
      </w:r>
      <w:r w:rsidRPr="008F200B">
        <w:rPr>
          <w:rFonts w:ascii="Arial" w:hAnsi="Arial" w:cs="Arial"/>
        </w:rPr>
        <w:t>,</w:t>
      </w:r>
      <w:r w:rsidR="00C057B1" w:rsidRPr="008F200B">
        <w:rPr>
          <w:rFonts w:ascii="Arial" w:hAnsi="Arial" w:cs="Arial"/>
        </w:rPr>
        <w:t>2</w:t>
      </w:r>
      <w:r w:rsidR="000E44C9" w:rsidRPr="008F200B">
        <w:rPr>
          <w:rFonts w:ascii="Arial" w:hAnsi="Arial" w:cs="Arial"/>
        </w:rPr>
        <w:t> %</w:t>
      </w:r>
      <w:r w:rsidRPr="008F200B">
        <w:rPr>
          <w:rFonts w:ascii="Arial" w:hAnsi="Arial" w:cs="Arial"/>
        </w:rPr>
        <w:t xml:space="preserve">, son rythme de croissance s’affichant même </w:t>
      </w:r>
      <w:r w:rsidR="00C057B1" w:rsidRPr="008F200B">
        <w:rPr>
          <w:rFonts w:ascii="Arial" w:hAnsi="Arial" w:cs="Arial"/>
        </w:rPr>
        <w:t>près de 2</w:t>
      </w:r>
      <w:r w:rsidRPr="008F200B">
        <w:rPr>
          <w:rFonts w:ascii="Arial" w:hAnsi="Arial" w:cs="Arial"/>
        </w:rPr>
        <w:t xml:space="preserve"> fois moindre qu’au troisième trimestre 2023 (+4,0</w:t>
      </w:r>
      <w:r w:rsidR="000E44C9" w:rsidRPr="008F200B">
        <w:rPr>
          <w:rFonts w:ascii="Arial" w:hAnsi="Arial" w:cs="Arial"/>
        </w:rPr>
        <w:t> %</w:t>
      </w:r>
      <w:r w:rsidRPr="008F200B">
        <w:rPr>
          <w:rFonts w:ascii="Arial" w:hAnsi="Arial" w:cs="Arial"/>
        </w:rPr>
        <w:t>).</w:t>
      </w:r>
    </w:p>
    <w:p w14:paraId="432A24EE" w14:textId="77777777" w:rsidR="00150175" w:rsidRDefault="00150175">
      <w:pPr>
        <w:rPr>
          <w:rFonts w:ascii="Arial" w:hAnsi="Arial" w:cs="Arial"/>
        </w:rPr>
      </w:pPr>
      <w:r>
        <w:rPr>
          <w:rFonts w:ascii="Arial" w:hAnsi="Arial" w:cs="Arial"/>
        </w:rPr>
        <w:br w:type="page"/>
      </w:r>
    </w:p>
    <w:p w14:paraId="177270EA" w14:textId="6CFE794D" w:rsidR="0054174A" w:rsidRPr="00420AA9" w:rsidRDefault="00CA2412" w:rsidP="00B34893">
      <w:pPr>
        <w:jc w:val="center"/>
        <w:rPr>
          <w:rFonts w:ascii="Arial" w:hAnsi="Arial" w:cs="Arial"/>
        </w:rPr>
      </w:pPr>
      <w:r w:rsidRPr="00884C3F">
        <w:rPr>
          <w:rFonts w:ascii="Arial" w:hAnsi="Arial" w:cs="Arial"/>
        </w:rPr>
        <w:lastRenderedPageBreak/>
        <w:t xml:space="preserve">Graphique </w:t>
      </w:r>
      <w:r w:rsidR="00045AAA" w:rsidRPr="00884C3F">
        <w:rPr>
          <w:rFonts w:ascii="Arial" w:hAnsi="Arial" w:cs="Arial"/>
        </w:rPr>
        <w:t>1</w:t>
      </w:r>
      <w:r w:rsidR="001E47F3">
        <w:rPr>
          <w:rFonts w:ascii="Arial" w:hAnsi="Arial" w:cs="Arial"/>
        </w:rPr>
        <w:t>3</w:t>
      </w:r>
      <w:r w:rsidR="0054174A" w:rsidRPr="00884C3F">
        <w:rPr>
          <w:rFonts w:ascii="Arial" w:hAnsi="Arial" w:cs="Arial"/>
        </w:rPr>
        <w:t xml:space="preserve"> –</w:t>
      </w:r>
      <w:r w:rsidR="00B713C5">
        <w:rPr>
          <w:rFonts w:ascii="Arial" w:hAnsi="Arial" w:cs="Arial"/>
        </w:rPr>
        <w:t xml:space="preserve"> </w:t>
      </w:r>
      <w:r w:rsidR="00B713C5" w:rsidRPr="00B713C5">
        <w:rPr>
          <w:rFonts w:ascii="Arial" w:hAnsi="Arial" w:cs="Arial"/>
          <w:b/>
        </w:rPr>
        <w:t>A</w:t>
      </w:r>
      <w:r w:rsidR="0054174A" w:rsidRPr="00B713C5">
        <w:rPr>
          <w:rFonts w:ascii="Arial" w:hAnsi="Arial" w:cs="Arial"/>
          <w:b/>
        </w:rPr>
        <w:t>ctivité</w:t>
      </w:r>
      <w:r w:rsidR="0054174A" w:rsidRPr="00884C3F">
        <w:rPr>
          <w:rFonts w:ascii="Arial" w:hAnsi="Arial" w:cs="Arial"/>
          <w:b/>
        </w:rPr>
        <w:t xml:space="preserve"> d’amélioration-entretien</w:t>
      </w:r>
      <w:r w:rsidR="00B713C5">
        <w:rPr>
          <w:rFonts w:ascii="Arial" w:hAnsi="Arial" w:cs="Arial"/>
          <w:b/>
        </w:rPr>
        <w:t xml:space="preserve"> </w:t>
      </w:r>
      <w:r w:rsidR="00B713C5" w:rsidRPr="00420AA9">
        <w:rPr>
          <w:rFonts w:ascii="Arial" w:hAnsi="Arial" w:cs="Arial"/>
        </w:rPr>
        <w:t>(en volume)</w:t>
      </w:r>
    </w:p>
    <w:p w14:paraId="1C626D38" w14:textId="64D32FD3" w:rsidR="0054174A" w:rsidRPr="005C3BCA" w:rsidRDefault="00C057B1" w:rsidP="00C07938">
      <w:pPr>
        <w:spacing w:after="60" w:line="240" w:lineRule="auto"/>
        <w:jc w:val="center"/>
        <w:rPr>
          <w:rFonts w:ascii="Arial" w:hAnsi="Arial" w:cs="Arial"/>
        </w:rPr>
      </w:pPr>
      <w:r w:rsidRPr="00C057B1">
        <w:rPr>
          <w:rFonts w:ascii="Arial" w:hAnsi="Arial" w:cs="Arial"/>
          <w:noProof/>
        </w:rPr>
        <w:drawing>
          <wp:inline distT="0" distB="0" distL="0" distR="0" wp14:anchorId="12C689D4" wp14:editId="74DB9B1D">
            <wp:extent cx="5760720" cy="3064510"/>
            <wp:effectExtent l="0" t="0" r="0" b="2540"/>
            <wp:docPr id="129117742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0704B744" w14:textId="5CB9958D" w:rsidR="0054174A" w:rsidRPr="00884C3F" w:rsidRDefault="0054174A" w:rsidP="00273693">
      <w:pPr>
        <w:spacing w:after="120" w:line="360" w:lineRule="auto"/>
        <w:jc w:val="center"/>
        <w:rPr>
          <w:rFonts w:ascii="Arial" w:hAnsi="Arial" w:cs="Arial"/>
          <w:i/>
          <w:sz w:val="20"/>
          <w:szCs w:val="20"/>
        </w:rPr>
      </w:pPr>
      <w:r w:rsidRPr="00884C3F">
        <w:rPr>
          <w:rFonts w:ascii="Arial" w:hAnsi="Arial" w:cs="Arial"/>
          <w:i/>
          <w:sz w:val="20"/>
          <w:szCs w:val="20"/>
        </w:rPr>
        <w:t>Source : FFB/Réseau des C</w:t>
      </w:r>
      <w:r w:rsidR="00696132">
        <w:rPr>
          <w:rFonts w:ascii="Arial" w:hAnsi="Arial" w:cs="Arial"/>
          <w:i/>
          <w:sz w:val="20"/>
          <w:szCs w:val="20"/>
        </w:rPr>
        <w:t>erc</w:t>
      </w:r>
    </w:p>
    <w:p w14:paraId="727C48A6" w14:textId="69BE108A" w:rsidR="00EF49C1" w:rsidRPr="00B81B8F" w:rsidRDefault="006A3AEB" w:rsidP="00EF49C1">
      <w:pPr>
        <w:spacing w:after="120" w:line="360" w:lineRule="auto"/>
        <w:jc w:val="both"/>
        <w:rPr>
          <w:rFonts w:ascii="Arial" w:hAnsi="Arial" w:cs="Arial"/>
        </w:rPr>
      </w:pPr>
      <w:r w:rsidRPr="00F90185">
        <w:rPr>
          <w:rFonts w:ascii="Arial" w:hAnsi="Arial" w:cs="Arial"/>
        </w:rPr>
        <w:t xml:space="preserve">Toutes les régions enregistrent une hausse de leur activité </w:t>
      </w:r>
      <w:r w:rsidR="00CB0681" w:rsidRPr="00F90185">
        <w:rPr>
          <w:rFonts w:ascii="Arial" w:hAnsi="Arial" w:cs="Arial"/>
        </w:rPr>
        <w:t>en</w:t>
      </w:r>
      <w:r w:rsidRPr="00F90185">
        <w:rPr>
          <w:rFonts w:ascii="Arial" w:hAnsi="Arial" w:cs="Arial"/>
        </w:rPr>
        <w:t xml:space="preserve"> 2023. </w:t>
      </w:r>
      <w:r w:rsidR="00B81B8F" w:rsidRPr="00F90185">
        <w:rPr>
          <w:rFonts w:ascii="Arial" w:hAnsi="Arial" w:cs="Arial"/>
        </w:rPr>
        <w:t>La moitié</w:t>
      </w:r>
      <w:r w:rsidRPr="00F90185">
        <w:rPr>
          <w:rFonts w:ascii="Arial" w:hAnsi="Arial" w:cs="Arial"/>
        </w:rPr>
        <w:t xml:space="preserve"> d’entre elles affichent un score </w:t>
      </w:r>
      <w:r w:rsidR="00B81B8F" w:rsidRPr="00F90185">
        <w:rPr>
          <w:rFonts w:ascii="Arial" w:hAnsi="Arial" w:cs="Arial"/>
        </w:rPr>
        <w:t>d’au-moins</w:t>
      </w:r>
      <w:r w:rsidRPr="00F90185">
        <w:rPr>
          <w:rFonts w:ascii="Arial" w:hAnsi="Arial" w:cs="Arial"/>
        </w:rPr>
        <w:t xml:space="preserve"> 3</w:t>
      </w:r>
      <w:r w:rsidR="00CC7623" w:rsidRPr="00F90185">
        <w:rPr>
          <w:rFonts w:ascii="Arial" w:hAnsi="Arial" w:cs="Arial"/>
        </w:rPr>
        <w:t> %</w:t>
      </w:r>
      <w:r w:rsidRPr="00F90185">
        <w:rPr>
          <w:rFonts w:ascii="Arial" w:hAnsi="Arial" w:cs="Arial"/>
        </w:rPr>
        <w:t xml:space="preserve"> à prix constants, alors que les Hauts-de-France, PACA puis l’Île-de-France ressortent moins dynamiques (cf. carte 4).</w:t>
      </w:r>
      <w:r w:rsidR="00EF49C1" w:rsidRPr="00B81B8F">
        <w:rPr>
          <w:rFonts w:ascii="Arial" w:hAnsi="Arial" w:cs="Arial"/>
        </w:rPr>
        <w:t xml:space="preserve"> </w:t>
      </w:r>
    </w:p>
    <w:p w14:paraId="688810B7" w14:textId="01ABD64A" w:rsidR="00DD4403" w:rsidRPr="00884C3F" w:rsidRDefault="00EF49C1" w:rsidP="008E332D">
      <w:pPr>
        <w:spacing w:after="0" w:line="360" w:lineRule="auto"/>
        <w:jc w:val="center"/>
        <w:rPr>
          <w:rFonts w:ascii="Arial" w:hAnsi="Arial" w:cs="Arial"/>
          <w:b/>
        </w:rPr>
      </w:pPr>
      <w:r>
        <w:rPr>
          <w:rFonts w:ascii="Arial" w:hAnsi="Arial" w:cs="Arial"/>
        </w:rPr>
        <w:t>Carte</w:t>
      </w:r>
      <w:r w:rsidR="00DD4403" w:rsidRPr="00884C3F">
        <w:rPr>
          <w:rFonts w:ascii="Arial" w:hAnsi="Arial" w:cs="Arial"/>
        </w:rPr>
        <w:t xml:space="preserve"> 4 –</w:t>
      </w:r>
      <w:r w:rsidR="003E2628" w:rsidRPr="00884C3F">
        <w:rPr>
          <w:rFonts w:ascii="Arial" w:hAnsi="Arial" w:cs="Arial"/>
        </w:rPr>
        <w:t xml:space="preserve"> </w:t>
      </w:r>
      <w:r w:rsidR="001F6ED5">
        <w:rPr>
          <w:rFonts w:ascii="Arial" w:hAnsi="Arial" w:cs="Arial"/>
          <w:b/>
        </w:rPr>
        <w:t xml:space="preserve">Évolutions régionales </w:t>
      </w:r>
      <w:r w:rsidR="001F6ED5" w:rsidRPr="00570B54">
        <w:rPr>
          <w:rFonts w:ascii="Arial" w:hAnsi="Arial" w:cs="Arial"/>
        </w:rPr>
        <w:t>(en</w:t>
      </w:r>
      <w:r w:rsidR="00CC7623">
        <w:rPr>
          <w:rFonts w:ascii="Arial" w:hAnsi="Arial" w:cs="Arial"/>
        </w:rPr>
        <w:t> %</w:t>
      </w:r>
      <w:r w:rsidR="0039439F">
        <w:rPr>
          <w:rFonts w:ascii="Arial" w:hAnsi="Arial" w:cs="Arial"/>
        </w:rPr>
        <w:t xml:space="preserve"> et en volume</w:t>
      </w:r>
      <w:r w:rsidR="001F6ED5" w:rsidRPr="00570B54">
        <w:rPr>
          <w:rFonts w:ascii="Arial" w:hAnsi="Arial" w:cs="Arial"/>
        </w:rPr>
        <w:t>)</w:t>
      </w:r>
      <w:r w:rsidR="001F6ED5">
        <w:rPr>
          <w:rFonts w:ascii="Arial" w:hAnsi="Arial" w:cs="Arial"/>
          <w:b/>
        </w:rPr>
        <w:t xml:space="preserve"> de l’activité en </w:t>
      </w:r>
      <w:r w:rsidR="00DB30B4" w:rsidRPr="00884C3F">
        <w:rPr>
          <w:rFonts w:ascii="Arial" w:hAnsi="Arial" w:cs="Arial"/>
          <w:b/>
        </w:rPr>
        <w:t>amélioration-entretien</w:t>
      </w:r>
      <w:r w:rsidR="00460D0A">
        <w:rPr>
          <w:rFonts w:ascii="Arial" w:hAnsi="Arial" w:cs="Arial"/>
          <w:b/>
        </w:rPr>
        <w:t xml:space="preserve"> </w:t>
      </w:r>
      <w:r w:rsidR="00FF7D82">
        <w:rPr>
          <w:rFonts w:ascii="Arial" w:hAnsi="Arial" w:cs="Arial"/>
          <w:b/>
        </w:rPr>
        <w:t>en</w:t>
      </w:r>
      <w:r w:rsidR="00460D0A">
        <w:rPr>
          <w:rFonts w:ascii="Arial" w:hAnsi="Arial" w:cs="Arial"/>
          <w:b/>
        </w:rPr>
        <w:t xml:space="preserve"> 2023</w:t>
      </w:r>
    </w:p>
    <w:p w14:paraId="46F62A1A" w14:textId="42159C3C" w:rsidR="00DD4403" w:rsidRPr="005C3BCA" w:rsidRDefault="000772B4" w:rsidP="009A645C">
      <w:pPr>
        <w:pBdr>
          <w:top w:val="single" w:sz="4" w:space="1" w:color="auto"/>
          <w:left w:val="single" w:sz="4" w:space="4" w:color="auto"/>
          <w:bottom w:val="single" w:sz="4" w:space="1" w:color="auto"/>
          <w:right w:val="single" w:sz="4" w:space="4" w:color="auto"/>
        </w:pBdr>
        <w:spacing w:after="60" w:line="240" w:lineRule="auto"/>
        <w:jc w:val="center"/>
        <w:rPr>
          <w:rFonts w:ascii="Arial" w:hAnsi="Arial" w:cs="Arial"/>
        </w:rPr>
      </w:pPr>
      <w:r>
        <w:rPr>
          <w:rFonts w:ascii="Arial" w:hAnsi="Arial" w:cs="Arial"/>
          <w:noProof/>
        </w:rPr>
        <w:drawing>
          <wp:inline distT="0" distB="0" distL="0" distR="0" wp14:anchorId="52177998" wp14:editId="4385BA97">
            <wp:extent cx="2912400" cy="2437200"/>
            <wp:effectExtent l="0" t="0" r="2540" b="1270"/>
            <wp:docPr id="313962620" name="Image 4" descr="Une image contenant texte, carte, atlas,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62620" name="Image 4" descr="Une image contenant texte, carte, atlas, diagramme&#10;&#10;Description générée automatiquement"/>
                    <pic:cNvPicPr/>
                  </pic:nvPicPr>
                  <pic:blipFill>
                    <a:blip r:embed="rId27">
                      <a:extLst>
                        <a:ext uri="{28A0092B-C50C-407E-A947-70E740481C1C}">
                          <a14:useLocalDpi xmlns:a14="http://schemas.microsoft.com/office/drawing/2010/main" val="0"/>
                        </a:ext>
                      </a:extLst>
                    </a:blip>
                    <a:stretch>
                      <a:fillRect/>
                    </a:stretch>
                  </pic:blipFill>
                  <pic:spPr>
                    <a:xfrm>
                      <a:off x="0" y="0"/>
                      <a:ext cx="2912400" cy="2437200"/>
                    </a:xfrm>
                    <a:prstGeom prst="rect">
                      <a:avLst/>
                    </a:prstGeom>
                  </pic:spPr>
                </pic:pic>
              </a:graphicData>
            </a:graphic>
          </wp:inline>
        </w:drawing>
      </w:r>
    </w:p>
    <w:p w14:paraId="07AEE1F1" w14:textId="643B5912" w:rsidR="00601DF8" w:rsidRPr="00884C3F" w:rsidRDefault="00DD4403" w:rsidP="009A645C">
      <w:pPr>
        <w:spacing w:after="120" w:line="360" w:lineRule="auto"/>
        <w:jc w:val="center"/>
        <w:rPr>
          <w:rFonts w:ascii="Arial" w:hAnsi="Arial" w:cs="Arial"/>
          <w:u w:val="single"/>
        </w:rPr>
      </w:pPr>
      <w:r w:rsidRPr="00884C3F">
        <w:rPr>
          <w:rFonts w:ascii="Arial" w:hAnsi="Arial" w:cs="Arial"/>
          <w:i/>
          <w:sz w:val="20"/>
          <w:szCs w:val="20"/>
        </w:rPr>
        <w:t xml:space="preserve">Source : </w:t>
      </w:r>
      <w:r w:rsidR="00A82D2E" w:rsidRPr="00884C3F">
        <w:rPr>
          <w:rFonts w:ascii="Arial" w:hAnsi="Arial" w:cs="Arial"/>
          <w:i/>
          <w:sz w:val="20"/>
          <w:szCs w:val="20"/>
        </w:rPr>
        <w:t>FFB/</w:t>
      </w:r>
      <w:r w:rsidR="006D53A3" w:rsidRPr="00884C3F">
        <w:rPr>
          <w:rFonts w:ascii="Arial" w:hAnsi="Arial" w:cs="Arial"/>
          <w:i/>
          <w:sz w:val="20"/>
          <w:szCs w:val="20"/>
        </w:rPr>
        <w:t>R</w:t>
      </w:r>
      <w:r w:rsidR="00A82D2E" w:rsidRPr="00884C3F">
        <w:rPr>
          <w:rFonts w:ascii="Arial" w:hAnsi="Arial" w:cs="Arial"/>
          <w:i/>
          <w:sz w:val="20"/>
          <w:szCs w:val="20"/>
        </w:rPr>
        <w:t>éseau des C</w:t>
      </w:r>
      <w:r w:rsidR="00696132">
        <w:rPr>
          <w:rFonts w:ascii="Arial" w:hAnsi="Arial" w:cs="Arial"/>
          <w:i/>
          <w:sz w:val="20"/>
          <w:szCs w:val="20"/>
        </w:rPr>
        <w:t>erc</w:t>
      </w:r>
    </w:p>
    <w:p w14:paraId="7FC06795" w14:textId="505308E3" w:rsidR="00F90185" w:rsidRPr="00ED3322" w:rsidRDefault="00F90185" w:rsidP="00F90185">
      <w:pPr>
        <w:spacing w:after="120" w:line="360" w:lineRule="auto"/>
        <w:jc w:val="both"/>
        <w:rPr>
          <w:rFonts w:ascii="Arial" w:hAnsi="Arial" w:cs="Arial"/>
        </w:rPr>
      </w:pPr>
      <w:r w:rsidRPr="00F90185">
        <w:rPr>
          <w:rFonts w:ascii="Arial" w:hAnsi="Arial" w:cs="Arial"/>
        </w:rPr>
        <w:t>À l’horizon du printemps 202</w:t>
      </w:r>
      <w:r>
        <w:rPr>
          <w:rFonts w:ascii="Arial" w:hAnsi="Arial" w:cs="Arial"/>
        </w:rPr>
        <w:t>4</w:t>
      </w:r>
      <w:r w:rsidRPr="00F90185">
        <w:rPr>
          <w:rFonts w:ascii="Arial" w:hAnsi="Arial" w:cs="Arial"/>
        </w:rPr>
        <w:t xml:space="preserve">, selon l’Insee, les perspectives </w:t>
      </w:r>
      <w:r w:rsidRPr="008F200B">
        <w:rPr>
          <w:rFonts w:ascii="Arial" w:hAnsi="Arial" w:cs="Arial"/>
        </w:rPr>
        <w:t>d’activité relatives à l’amélioration-entretien ressortent bien orientées pour les plus de dix salariés et se lisent 3</w:t>
      </w:r>
      <w:r w:rsidR="00E26C23" w:rsidRPr="008F200B">
        <w:rPr>
          <w:rFonts w:ascii="Arial" w:hAnsi="Arial" w:cs="Arial"/>
        </w:rPr>
        <w:t>,1</w:t>
      </w:r>
      <w:r w:rsidRPr="008F200B">
        <w:rPr>
          <w:rFonts w:ascii="Arial" w:hAnsi="Arial" w:cs="Arial"/>
        </w:rPr>
        <w:t xml:space="preserve"> points au-dessus de leur moyenne de long terme (cf. graphique 1</w:t>
      </w:r>
      <w:r w:rsidR="00624A92" w:rsidRPr="008F200B">
        <w:rPr>
          <w:rFonts w:ascii="Arial" w:hAnsi="Arial" w:cs="Arial"/>
        </w:rPr>
        <w:t>4</w:t>
      </w:r>
      <w:r w:rsidRPr="008F200B">
        <w:rPr>
          <w:rFonts w:ascii="Arial" w:hAnsi="Arial" w:cs="Arial"/>
        </w:rPr>
        <w:t>). Le réseau des Cerc le</w:t>
      </w:r>
      <w:r w:rsidRPr="00F90185">
        <w:rPr>
          <w:rFonts w:ascii="Arial" w:hAnsi="Arial" w:cs="Arial"/>
        </w:rPr>
        <w:t xml:space="preserve"> confirme</w:t>
      </w:r>
      <w:r>
        <w:rPr>
          <w:rFonts w:ascii="Arial" w:hAnsi="Arial" w:cs="Arial"/>
        </w:rPr>
        <w:t xml:space="preserve"> pour l’ensemble des entreprises et artisans</w:t>
      </w:r>
      <w:r w:rsidRPr="00F90185">
        <w:rPr>
          <w:rFonts w:ascii="Arial" w:hAnsi="Arial" w:cs="Arial"/>
        </w:rPr>
        <w:t>, puisque leur estimation prévisionnelle d’activité ressort comprise entre +2</w:t>
      </w:r>
      <w:r>
        <w:rPr>
          <w:rFonts w:ascii="Arial" w:hAnsi="Arial" w:cs="Arial"/>
        </w:rPr>
        <w:t> </w:t>
      </w:r>
      <w:r w:rsidRPr="00F90185">
        <w:rPr>
          <w:rFonts w:ascii="Arial" w:hAnsi="Arial" w:cs="Arial"/>
        </w:rPr>
        <w:t>% et +3</w:t>
      </w:r>
      <w:r>
        <w:rPr>
          <w:rFonts w:ascii="Arial" w:hAnsi="Arial" w:cs="Arial"/>
        </w:rPr>
        <w:t> </w:t>
      </w:r>
      <w:r w:rsidRPr="00F90185">
        <w:rPr>
          <w:rFonts w:ascii="Arial" w:hAnsi="Arial" w:cs="Arial"/>
        </w:rPr>
        <w:t>% par rapport au premier trimestre 2023.</w:t>
      </w:r>
    </w:p>
    <w:p w14:paraId="1352B4B2" w14:textId="46E467BB" w:rsidR="00F90185" w:rsidRPr="00884C3F" w:rsidRDefault="00F90185" w:rsidP="00F90185">
      <w:pPr>
        <w:spacing w:after="0" w:line="360" w:lineRule="auto"/>
        <w:jc w:val="center"/>
        <w:rPr>
          <w:rFonts w:ascii="Arial" w:hAnsi="Arial" w:cs="Arial"/>
          <w:b/>
        </w:rPr>
      </w:pPr>
      <w:r w:rsidRPr="00884C3F">
        <w:rPr>
          <w:rFonts w:ascii="Arial" w:hAnsi="Arial" w:cs="Arial"/>
        </w:rPr>
        <w:lastRenderedPageBreak/>
        <w:t>Graphique 1</w:t>
      </w:r>
      <w:r w:rsidR="00624A92">
        <w:rPr>
          <w:rFonts w:ascii="Arial" w:hAnsi="Arial" w:cs="Arial"/>
        </w:rPr>
        <w:t>4</w:t>
      </w:r>
      <w:r w:rsidRPr="00884C3F">
        <w:rPr>
          <w:rFonts w:ascii="Arial" w:hAnsi="Arial" w:cs="Arial"/>
        </w:rPr>
        <w:t xml:space="preserve"> –</w:t>
      </w:r>
      <w:r w:rsidRPr="00884C3F">
        <w:rPr>
          <w:rFonts w:ascii="Arial" w:hAnsi="Arial" w:cs="Arial"/>
          <w:b/>
        </w:rPr>
        <w:t xml:space="preserve"> Opinions des chefs d’entreprise </w:t>
      </w:r>
      <w:r>
        <w:rPr>
          <w:rFonts w:ascii="Arial" w:hAnsi="Arial" w:cs="Arial"/>
          <w:b/>
        </w:rPr>
        <w:t xml:space="preserve">de plus de dix salariés </w:t>
      </w:r>
      <w:r w:rsidRPr="00884C3F">
        <w:rPr>
          <w:rFonts w:ascii="Arial" w:hAnsi="Arial" w:cs="Arial"/>
          <w:b/>
        </w:rPr>
        <w:t>sur l’activité prévue en amélioration-entretien</w:t>
      </w:r>
    </w:p>
    <w:p w14:paraId="66EAC3FD" w14:textId="50E553F3" w:rsidR="00F90185" w:rsidRPr="00884C3F" w:rsidRDefault="00954D27" w:rsidP="00F90185">
      <w:pPr>
        <w:spacing w:after="60" w:line="240" w:lineRule="auto"/>
        <w:jc w:val="center"/>
        <w:rPr>
          <w:rFonts w:ascii="Arial" w:hAnsi="Arial" w:cs="Arial"/>
          <w:noProof/>
          <w:lang w:eastAsia="fr-FR"/>
        </w:rPr>
      </w:pPr>
      <w:r w:rsidRPr="00954D27">
        <w:rPr>
          <w:rFonts w:ascii="Arial" w:hAnsi="Arial" w:cs="Arial"/>
          <w:noProof/>
          <w:lang w:eastAsia="fr-FR"/>
        </w:rPr>
        <w:drawing>
          <wp:inline distT="0" distB="0" distL="0" distR="0" wp14:anchorId="467105E6" wp14:editId="3A6681B5">
            <wp:extent cx="5760720" cy="3054985"/>
            <wp:effectExtent l="0" t="0" r="0" b="0"/>
            <wp:docPr id="111241495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054985"/>
                    </a:xfrm>
                    <a:prstGeom prst="rect">
                      <a:avLst/>
                    </a:prstGeom>
                    <a:noFill/>
                    <a:ln>
                      <a:noFill/>
                    </a:ln>
                  </pic:spPr>
                </pic:pic>
              </a:graphicData>
            </a:graphic>
          </wp:inline>
        </w:drawing>
      </w:r>
    </w:p>
    <w:p w14:paraId="576DAB02" w14:textId="77777777" w:rsidR="00F90185" w:rsidRPr="00884C3F" w:rsidRDefault="00F90185" w:rsidP="00F90185">
      <w:pPr>
        <w:spacing w:after="120" w:line="360" w:lineRule="auto"/>
        <w:jc w:val="center"/>
        <w:rPr>
          <w:rFonts w:ascii="Arial" w:hAnsi="Arial" w:cs="Arial"/>
          <w:i/>
          <w:sz w:val="20"/>
          <w:szCs w:val="20"/>
        </w:rPr>
      </w:pPr>
      <w:r w:rsidRPr="00884C3F">
        <w:rPr>
          <w:rFonts w:ascii="Arial" w:hAnsi="Arial" w:cs="Arial"/>
          <w:i/>
          <w:sz w:val="20"/>
          <w:szCs w:val="20"/>
        </w:rPr>
        <w:t xml:space="preserve">Source : </w:t>
      </w:r>
      <w:r>
        <w:rPr>
          <w:rFonts w:ascii="Arial" w:hAnsi="Arial" w:cs="Arial"/>
          <w:i/>
          <w:sz w:val="20"/>
          <w:szCs w:val="20"/>
        </w:rPr>
        <w:t>calculs FFB d’après Insee</w:t>
      </w:r>
    </w:p>
    <w:p w14:paraId="094B8A55" w14:textId="701799F4" w:rsidR="003F4D47" w:rsidRPr="005D413A" w:rsidRDefault="003F4D47" w:rsidP="00D7622D">
      <w:pPr>
        <w:spacing w:before="360" w:after="120" w:line="360" w:lineRule="auto"/>
        <w:rPr>
          <w:rFonts w:ascii="Arial" w:hAnsi="Arial" w:cs="Arial"/>
          <w:u w:val="single"/>
        </w:rPr>
      </w:pPr>
      <w:r w:rsidRPr="005D413A">
        <w:rPr>
          <w:rFonts w:ascii="Arial" w:hAnsi="Arial" w:cs="Arial"/>
          <w:u w:val="single"/>
        </w:rPr>
        <w:t>2.4 Le bâtiment</w:t>
      </w:r>
    </w:p>
    <w:p w14:paraId="32456D75" w14:textId="72AEE51B" w:rsidR="007C61B0" w:rsidRPr="008F200B" w:rsidRDefault="007C61B0" w:rsidP="007C61B0">
      <w:pPr>
        <w:spacing w:after="120" w:line="360" w:lineRule="auto"/>
        <w:jc w:val="both"/>
        <w:rPr>
          <w:rFonts w:ascii="Arial" w:hAnsi="Arial" w:cs="Arial"/>
          <w:i/>
          <w:sz w:val="20"/>
          <w:szCs w:val="20"/>
        </w:rPr>
      </w:pPr>
      <w:r w:rsidRPr="0001427A">
        <w:rPr>
          <w:rFonts w:ascii="Arial" w:hAnsi="Arial" w:cs="Arial"/>
        </w:rPr>
        <w:t xml:space="preserve">En 2023, l’activité </w:t>
      </w:r>
      <w:r w:rsidRPr="008F200B">
        <w:rPr>
          <w:rFonts w:ascii="Arial" w:hAnsi="Arial" w:cs="Arial"/>
        </w:rPr>
        <w:t xml:space="preserve">bâtiment </w:t>
      </w:r>
      <w:r w:rsidR="00D40F9B" w:rsidRPr="008F200B">
        <w:rPr>
          <w:rFonts w:ascii="Arial" w:hAnsi="Arial" w:cs="Arial"/>
        </w:rPr>
        <w:t xml:space="preserve">s’érode de </w:t>
      </w:r>
      <w:r w:rsidRPr="008F200B">
        <w:rPr>
          <w:rFonts w:ascii="Arial" w:hAnsi="Arial" w:cs="Arial"/>
        </w:rPr>
        <w:t>0,</w:t>
      </w:r>
      <w:r w:rsidR="00D40F9B" w:rsidRPr="008F200B">
        <w:rPr>
          <w:rFonts w:ascii="Arial" w:hAnsi="Arial" w:cs="Arial"/>
        </w:rPr>
        <w:t>8</w:t>
      </w:r>
      <w:r w:rsidR="00CC7623" w:rsidRPr="008F200B">
        <w:rPr>
          <w:rFonts w:ascii="Arial" w:hAnsi="Arial" w:cs="Arial"/>
        </w:rPr>
        <w:t> %</w:t>
      </w:r>
      <w:r w:rsidRPr="008F200B">
        <w:rPr>
          <w:rFonts w:ascii="Arial" w:hAnsi="Arial" w:cs="Arial"/>
        </w:rPr>
        <w:t xml:space="preserve"> en volume. En détail, le neuf </w:t>
      </w:r>
      <w:r w:rsidR="00521375" w:rsidRPr="008F200B">
        <w:rPr>
          <w:rFonts w:ascii="Arial" w:hAnsi="Arial" w:cs="Arial"/>
        </w:rPr>
        <w:t>recule</w:t>
      </w:r>
      <w:r w:rsidRPr="008F200B">
        <w:rPr>
          <w:rFonts w:ascii="Arial" w:hAnsi="Arial" w:cs="Arial"/>
        </w:rPr>
        <w:t xml:space="preserve"> de </w:t>
      </w:r>
      <w:r w:rsidR="00D40F9B" w:rsidRPr="008F200B">
        <w:rPr>
          <w:rFonts w:ascii="Arial" w:hAnsi="Arial" w:cs="Arial"/>
        </w:rPr>
        <w:t>4</w:t>
      </w:r>
      <w:r w:rsidRPr="008F200B">
        <w:rPr>
          <w:rFonts w:ascii="Arial" w:hAnsi="Arial" w:cs="Arial"/>
        </w:rPr>
        <w:t>,</w:t>
      </w:r>
      <w:r w:rsidR="00D40F9B" w:rsidRPr="008F200B">
        <w:rPr>
          <w:rFonts w:ascii="Arial" w:hAnsi="Arial" w:cs="Arial"/>
        </w:rPr>
        <w:t>6</w:t>
      </w:r>
      <w:r w:rsidR="00CC7623" w:rsidRPr="008F200B">
        <w:rPr>
          <w:rFonts w:ascii="Arial" w:hAnsi="Arial" w:cs="Arial"/>
        </w:rPr>
        <w:t> %</w:t>
      </w:r>
      <w:r w:rsidRPr="008F200B">
        <w:rPr>
          <w:rFonts w:ascii="Arial" w:hAnsi="Arial" w:cs="Arial"/>
        </w:rPr>
        <w:t>, tiré vers le bas par le logement (</w:t>
      </w:r>
      <w:r w:rsidR="009C3B23" w:rsidRPr="008F200B">
        <w:rPr>
          <w:rFonts w:ascii="Arial" w:hAnsi="Arial" w:cs="Arial"/>
        </w:rPr>
        <w:noBreakHyphen/>
      </w:r>
      <w:r w:rsidR="00D40F9B" w:rsidRPr="008F200B">
        <w:rPr>
          <w:rFonts w:ascii="Arial" w:hAnsi="Arial" w:cs="Arial"/>
        </w:rPr>
        <w:t>8</w:t>
      </w:r>
      <w:r w:rsidR="002748D0" w:rsidRPr="008F200B">
        <w:rPr>
          <w:rFonts w:ascii="Arial" w:hAnsi="Arial" w:cs="Arial"/>
        </w:rPr>
        <w:t>,</w:t>
      </w:r>
      <w:r w:rsidR="0001427A" w:rsidRPr="008F200B">
        <w:rPr>
          <w:rFonts w:ascii="Arial" w:hAnsi="Arial" w:cs="Arial"/>
        </w:rPr>
        <w:t>0</w:t>
      </w:r>
      <w:r w:rsidR="00CC7623" w:rsidRPr="008F200B">
        <w:rPr>
          <w:rFonts w:ascii="Arial" w:hAnsi="Arial" w:cs="Arial"/>
        </w:rPr>
        <w:t> %</w:t>
      </w:r>
      <w:r w:rsidRPr="008F200B">
        <w:rPr>
          <w:rFonts w:ascii="Arial" w:hAnsi="Arial" w:cs="Arial"/>
        </w:rPr>
        <w:t>)</w:t>
      </w:r>
      <w:r w:rsidR="00CC7623" w:rsidRPr="008F200B">
        <w:rPr>
          <w:rFonts w:ascii="Arial" w:hAnsi="Arial" w:cs="Arial"/>
        </w:rPr>
        <w:t>,</w:t>
      </w:r>
      <w:r w:rsidRPr="008F200B">
        <w:rPr>
          <w:rFonts w:ascii="Arial" w:hAnsi="Arial" w:cs="Arial"/>
        </w:rPr>
        <w:t xml:space="preserve"> alors que le non résidentiel progresse encore</w:t>
      </w:r>
      <w:r w:rsidR="00D82736" w:rsidRPr="008F200B">
        <w:rPr>
          <w:rFonts w:ascii="Arial" w:hAnsi="Arial" w:cs="Arial"/>
        </w:rPr>
        <w:t xml:space="preserve"> un peu</w:t>
      </w:r>
      <w:r w:rsidRPr="008F200B">
        <w:rPr>
          <w:rFonts w:ascii="Arial" w:hAnsi="Arial" w:cs="Arial"/>
        </w:rPr>
        <w:t xml:space="preserve"> (+</w:t>
      </w:r>
      <w:r w:rsidR="00D40F9B" w:rsidRPr="008F200B">
        <w:rPr>
          <w:rFonts w:ascii="Arial" w:hAnsi="Arial" w:cs="Arial"/>
        </w:rPr>
        <w:t>0,</w:t>
      </w:r>
      <w:r w:rsidR="005B196F" w:rsidRPr="008F200B">
        <w:rPr>
          <w:rFonts w:ascii="Arial" w:hAnsi="Arial" w:cs="Arial"/>
        </w:rPr>
        <w:t>4</w:t>
      </w:r>
      <w:r w:rsidR="00CC7623" w:rsidRPr="008F200B">
        <w:rPr>
          <w:rFonts w:ascii="Arial" w:hAnsi="Arial" w:cs="Arial"/>
        </w:rPr>
        <w:t> %</w:t>
      </w:r>
      <w:r w:rsidRPr="008F200B">
        <w:rPr>
          <w:rFonts w:ascii="Arial" w:hAnsi="Arial" w:cs="Arial"/>
        </w:rPr>
        <w:t>). Quant à l’amélioration-entretien, l’activité s’y lit à +</w:t>
      </w:r>
      <w:r w:rsidR="00D82736" w:rsidRPr="008F200B">
        <w:rPr>
          <w:rFonts w:ascii="Arial" w:hAnsi="Arial" w:cs="Arial"/>
        </w:rPr>
        <w:t>2</w:t>
      </w:r>
      <w:r w:rsidRPr="008F200B">
        <w:rPr>
          <w:rFonts w:ascii="Arial" w:hAnsi="Arial" w:cs="Arial"/>
        </w:rPr>
        <w:t>,</w:t>
      </w:r>
      <w:r w:rsidR="0001427A" w:rsidRPr="008F200B">
        <w:rPr>
          <w:rFonts w:ascii="Arial" w:hAnsi="Arial" w:cs="Arial"/>
        </w:rPr>
        <w:t>3</w:t>
      </w:r>
      <w:r w:rsidR="00CC7623" w:rsidRPr="008F200B">
        <w:rPr>
          <w:rFonts w:ascii="Arial" w:hAnsi="Arial" w:cs="Arial"/>
        </w:rPr>
        <w:t> %</w:t>
      </w:r>
      <w:r w:rsidR="00D40F9B" w:rsidRPr="008F200B">
        <w:rPr>
          <w:rFonts w:ascii="Arial" w:hAnsi="Arial" w:cs="Arial"/>
        </w:rPr>
        <w:t xml:space="preserve"> (cf. supra)</w:t>
      </w:r>
      <w:r w:rsidRPr="008F200B">
        <w:rPr>
          <w:rFonts w:ascii="Arial" w:hAnsi="Arial" w:cs="Arial"/>
        </w:rPr>
        <w:t>.</w:t>
      </w:r>
    </w:p>
    <w:p w14:paraId="1489244D" w14:textId="718C94B4" w:rsidR="007C2C72" w:rsidRPr="0001427A" w:rsidRDefault="002E0A8E" w:rsidP="007C2C72">
      <w:pPr>
        <w:spacing w:after="120" w:line="360" w:lineRule="auto"/>
        <w:jc w:val="both"/>
        <w:rPr>
          <w:rFonts w:ascii="Arial" w:hAnsi="Arial" w:cs="Arial"/>
        </w:rPr>
      </w:pPr>
      <w:r w:rsidRPr="008F200B">
        <w:rPr>
          <w:rFonts w:ascii="Arial" w:hAnsi="Arial" w:cs="Arial"/>
        </w:rPr>
        <w:t>Le début 2024</w:t>
      </w:r>
      <w:r w:rsidR="00ED3322" w:rsidRPr="008F200B">
        <w:rPr>
          <w:rFonts w:ascii="Arial" w:hAnsi="Arial" w:cs="Arial"/>
        </w:rPr>
        <w:t xml:space="preserve"> bénéficie de carnets de commandes qui restent à bon niveau, mais qui </w:t>
      </w:r>
      <w:r w:rsidR="00F90185" w:rsidRPr="008F200B">
        <w:rPr>
          <w:rFonts w:ascii="Arial" w:hAnsi="Arial" w:cs="Arial"/>
        </w:rPr>
        <w:t>s’érodent</w:t>
      </w:r>
      <w:r w:rsidR="005A72C6" w:rsidRPr="008F200B">
        <w:rPr>
          <w:rFonts w:ascii="Arial" w:hAnsi="Arial" w:cs="Arial"/>
        </w:rPr>
        <w:t xml:space="preserve"> en tendance</w:t>
      </w:r>
      <w:r w:rsidR="0033148C">
        <w:rPr>
          <w:rFonts w:ascii="Arial" w:hAnsi="Arial" w:cs="Arial"/>
        </w:rPr>
        <w:t xml:space="preserve"> </w:t>
      </w:r>
      <w:r w:rsidR="0033148C" w:rsidRPr="008F200B">
        <w:rPr>
          <w:rFonts w:ascii="Arial" w:hAnsi="Arial" w:cs="Arial"/>
        </w:rPr>
        <w:t>(cf. graphique 15)</w:t>
      </w:r>
      <w:r w:rsidR="00ED3322" w:rsidRPr="008F200B">
        <w:rPr>
          <w:rFonts w:ascii="Arial" w:hAnsi="Arial" w:cs="Arial"/>
        </w:rPr>
        <w:t xml:space="preserve">. Ils atteignent </w:t>
      </w:r>
      <w:r w:rsidR="0033148C">
        <w:rPr>
          <w:rFonts w:ascii="Arial" w:hAnsi="Arial" w:cs="Arial"/>
        </w:rPr>
        <w:t xml:space="preserve">respectivement </w:t>
      </w:r>
      <w:r w:rsidR="00ED3322" w:rsidRPr="008F200B">
        <w:rPr>
          <w:rFonts w:ascii="Arial" w:hAnsi="Arial" w:cs="Arial"/>
        </w:rPr>
        <w:t>8,</w:t>
      </w:r>
      <w:r w:rsidR="005A72C6" w:rsidRPr="008F200B">
        <w:rPr>
          <w:rFonts w:ascii="Arial" w:hAnsi="Arial" w:cs="Arial"/>
        </w:rPr>
        <w:t>3</w:t>
      </w:r>
      <w:r w:rsidR="00ED3322" w:rsidRPr="008F200B">
        <w:rPr>
          <w:rFonts w:ascii="Arial" w:hAnsi="Arial" w:cs="Arial"/>
        </w:rPr>
        <w:t xml:space="preserve"> </w:t>
      </w:r>
      <w:r w:rsidR="0033148C">
        <w:rPr>
          <w:rFonts w:ascii="Arial" w:hAnsi="Arial" w:cs="Arial"/>
        </w:rPr>
        <w:t xml:space="preserve">et 4,4 </w:t>
      </w:r>
      <w:r w:rsidR="00ED3322" w:rsidRPr="008F200B">
        <w:rPr>
          <w:rFonts w:ascii="Arial" w:hAnsi="Arial" w:cs="Arial"/>
        </w:rPr>
        <w:t xml:space="preserve">mois à fin </w:t>
      </w:r>
      <w:r w:rsidR="0001427A" w:rsidRPr="008F200B">
        <w:rPr>
          <w:rFonts w:ascii="Arial" w:hAnsi="Arial" w:cs="Arial"/>
        </w:rPr>
        <w:t>février</w:t>
      </w:r>
      <w:r w:rsidR="00D15883" w:rsidRPr="008F200B">
        <w:rPr>
          <w:rFonts w:ascii="Arial" w:hAnsi="Arial" w:cs="Arial"/>
        </w:rPr>
        <w:t xml:space="preserve"> 2024</w:t>
      </w:r>
      <w:r w:rsidR="00ED3322" w:rsidRPr="008F200B">
        <w:rPr>
          <w:rFonts w:ascii="Arial" w:hAnsi="Arial" w:cs="Arial"/>
        </w:rPr>
        <w:t xml:space="preserve"> </w:t>
      </w:r>
      <w:r w:rsidR="0033148C">
        <w:rPr>
          <w:rFonts w:ascii="Arial" w:hAnsi="Arial" w:cs="Arial"/>
        </w:rPr>
        <w:t xml:space="preserve">et fin décembre 2023 </w:t>
      </w:r>
      <w:r w:rsidR="00ED3322" w:rsidRPr="008F200B">
        <w:rPr>
          <w:rFonts w:ascii="Arial" w:hAnsi="Arial" w:cs="Arial"/>
        </w:rPr>
        <w:t>pour les entreprises de plus de dix salariés</w:t>
      </w:r>
      <w:r w:rsidR="0033148C">
        <w:rPr>
          <w:rFonts w:ascii="Arial" w:hAnsi="Arial" w:cs="Arial"/>
        </w:rPr>
        <w:t xml:space="preserve"> et les artisans</w:t>
      </w:r>
      <w:r w:rsidR="00ED3322" w:rsidRPr="008F200B">
        <w:rPr>
          <w:rFonts w:ascii="Arial" w:hAnsi="Arial" w:cs="Arial"/>
        </w:rPr>
        <w:t>.</w:t>
      </w:r>
    </w:p>
    <w:p w14:paraId="15DA5B3D" w14:textId="77777777" w:rsidR="000932E3" w:rsidRDefault="000932E3">
      <w:pPr>
        <w:rPr>
          <w:rFonts w:ascii="Arial" w:hAnsi="Arial" w:cs="Arial"/>
        </w:rPr>
      </w:pPr>
      <w:r>
        <w:rPr>
          <w:rFonts w:ascii="Arial" w:hAnsi="Arial" w:cs="Arial"/>
        </w:rPr>
        <w:br w:type="page"/>
      </w:r>
    </w:p>
    <w:p w14:paraId="2B87EC9C" w14:textId="66482FAC" w:rsidR="003C23CE" w:rsidRPr="00F720AB" w:rsidRDefault="00D5091C" w:rsidP="00CC1627">
      <w:pPr>
        <w:spacing w:after="0" w:line="360" w:lineRule="auto"/>
        <w:jc w:val="center"/>
        <w:rPr>
          <w:rFonts w:ascii="Arial" w:hAnsi="Arial" w:cs="Arial"/>
          <w:b/>
          <w:bCs/>
        </w:rPr>
      </w:pPr>
      <w:r>
        <w:rPr>
          <w:rFonts w:ascii="Arial" w:hAnsi="Arial" w:cs="Arial"/>
        </w:rPr>
        <w:lastRenderedPageBreak/>
        <w:t>Graphique 1</w:t>
      </w:r>
      <w:r w:rsidR="00E67FD8">
        <w:rPr>
          <w:rFonts w:ascii="Arial" w:hAnsi="Arial" w:cs="Arial"/>
        </w:rPr>
        <w:t>5</w:t>
      </w:r>
      <w:r w:rsidRPr="4FF09C5F">
        <w:rPr>
          <w:rFonts w:ascii="Arial" w:hAnsi="Arial" w:cs="Arial"/>
        </w:rPr>
        <w:t xml:space="preserve"> –</w:t>
      </w:r>
      <w:r w:rsidR="003C23CE">
        <w:rPr>
          <w:rFonts w:ascii="Arial" w:hAnsi="Arial" w:cs="Arial"/>
        </w:rPr>
        <w:t xml:space="preserve"> </w:t>
      </w:r>
      <w:r w:rsidR="003C23CE" w:rsidRPr="009E2004">
        <w:rPr>
          <w:rFonts w:ascii="Arial" w:hAnsi="Arial" w:cs="Arial"/>
          <w:b/>
        </w:rPr>
        <w:t>Carnets de commandes des entreprises de bâtiment</w:t>
      </w:r>
    </w:p>
    <w:p w14:paraId="70644D95" w14:textId="54389692" w:rsidR="00D5091C" w:rsidRDefault="0029141C" w:rsidP="00ED7A6B">
      <w:pPr>
        <w:spacing w:after="60" w:line="240" w:lineRule="auto"/>
        <w:jc w:val="center"/>
        <w:rPr>
          <w:rFonts w:ascii="Arial" w:hAnsi="Arial" w:cs="Arial"/>
        </w:rPr>
      </w:pPr>
      <w:r w:rsidRPr="0029141C">
        <w:rPr>
          <w:rFonts w:ascii="Arial" w:hAnsi="Arial" w:cs="Arial"/>
          <w:noProof/>
        </w:rPr>
        <w:drawing>
          <wp:inline distT="0" distB="0" distL="0" distR="0" wp14:anchorId="25673859" wp14:editId="659E1E1E">
            <wp:extent cx="5760720" cy="3055620"/>
            <wp:effectExtent l="0" t="0" r="0" b="0"/>
            <wp:docPr id="1046944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3055620"/>
                    </a:xfrm>
                    <a:prstGeom prst="rect">
                      <a:avLst/>
                    </a:prstGeom>
                    <a:noFill/>
                    <a:ln>
                      <a:noFill/>
                    </a:ln>
                  </pic:spPr>
                </pic:pic>
              </a:graphicData>
            </a:graphic>
          </wp:inline>
        </w:drawing>
      </w:r>
    </w:p>
    <w:p w14:paraId="5DD542B7" w14:textId="21E20CF3" w:rsidR="00D564C3" w:rsidRDefault="00D5091C" w:rsidP="00152416">
      <w:pPr>
        <w:spacing w:after="0" w:line="360" w:lineRule="auto"/>
        <w:jc w:val="center"/>
        <w:rPr>
          <w:rFonts w:ascii="Arial" w:hAnsi="Arial" w:cs="Arial"/>
          <w:i/>
          <w:iCs/>
          <w:sz w:val="20"/>
          <w:szCs w:val="20"/>
        </w:rPr>
      </w:pPr>
      <w:r w:rsidRPr="4FF09C5F">
        <w:rPr>
          <w:rFonts w:ascii="Arial" w:hAnsi="Arial" w:cs="Arial"/>
          <w:i/>
          <w:iCs/>
          <w:sz w:val="20"/>
          <w:szCs w:val="20"/>
        </w:rPr>
        <w:t>Source : Insee</w:t>
      </w:r>
      <w:r w:rsidR="003C23CE">
        <w:rPr>
          <w:rFonts w:ascii="Arial" w:hAnsi="Arial" w:cs="Arial"/>
          <w:i/>
          <w:iCs/>
          <w:sz w:val="20"/>
          <w:szCs w:val="20"/>
        </w:rPr>
        <w:t> ; FFB</w:t>
      </w:r>
    </w:p>
    <w:p w14:paraId="678D6CB7" w14:textId="5AF768C3" w:rsidR="00A834A2" w:rsidRPr="00AE6454" w:rsidRDefault="00A834A2" w:rsidP="00720932">
      <w:pPr>
        <w:spacing w:before="480" w:after="120" w:line="360" w:lineRule="auto"/>
        <w:rPr>
          <w:rFonts w:ascii="Arial" w:hAnsi="Arial" w:cs="Arial"/>
          <w:b/>
          <w:sz w:val="28"/>
          <w:szCs w:val="28"/>
          <w:u w:val="single"/>
        </w:rPr>
      </w:pPr>
      <w:r>
        <w:rPr>
          <w:rFonts w:ascii="Arial" w:hAnsi="Arial" w:cs="Arial"/>
          <w:b/>
          <w:sz w:val="28"/>
          <w:szCs w:val="28"/>
          <w:u w:val="single"/>
        </w:rPr>
        <w:t>3</w:t>
      </w:r>
      <w:r w:rsidRPr="00AE6454">
        <w:rPr>
          <w:rFonts w:ascii="Arial" w:hAnsi="Arial" w:cs="Arial"/>
          <w:b/>
          <w:sz w:val="28"/>
          <w:szCs w:val="28"/>
          <w:u w:val="single"/>
        </w:rPr>
        <w:t xml:space="preserve">. </w:t>
      </w:r>
      <w:r>
        <w:rPr>
          <w:rFonts w:ascii="Arial" w:hAnsi="Arial" w:cs="Arial"/>
          <w:b/>
          <w:sz w:val="28"/>
          <w:szCs w:val="28"/>
          <w:u w:val="single"/>
        </w:rPr>
        <w:t>L’appareil de production</w:t>
      </w:r>
    </w:p>
    <w:p w14:paraId="41DDE7AE" w14:textId="77777777" w:rsidR="00A834A2" w:rsidRPr="00305324" w:rsidRDefault="00A834A2" w:rsidP="00ED7A6B">
      <w:pPr>
        <w:spacing w:before="240" w:after="120" w:line="360" w:lineRule="auto"/>
        <w:jc w:val="both"/>
        <w:rPr>
          <w:rFonts w:ascii="Arial" w:hAnsi="Arial" w:cs="Arial"/>
          <w:u w:val="single"/>
        </w:rPr>
      </w:pPr>
      <w:r w:rsidRPr="00305324">
        <w:rPr>
          <w:rFonts w:ascii="Arial" w:hAnsi="Arial" w:cs="Arial"/>
          <w:u w:val="single"/>
        </w:rPr>
        <w:t>3.1 L’emploi</w:t>
      </w:r>
    </w:p>
    <w:p w14:paraId="735038FE" w14:textId="7D1C3C27" w:rsidR="00F90185" w:rsidRPr="008F200B" w:rsidRDefault="000252C3" w:rsidP="007C40E6">
      <w:pPr>
        <w:spacing w:after="120" w:line="360" w:lineRule="auto"/>
        <w:jc w:val="both"/>
        <w:rPr>
          <w:rFonts w:ascii="Arial" w:hAnsi="Arial" w:cs="Arial"/>
        </w:rPr>
      </w:pPr>
      <w:r w:rsidRPr="00D82CC1">
        <w:rPr>
          <w:rFonts w:ascii="Arial" w:hAnsi="Arial" w:cs="Arial"/>
        </w:rPr>
        <w:t>Selon les données officielles, la baisse de l’emploi salarié dans le bâtiment accélère en glissement annuel sur un trimestre, avec -0,7</w:t>
      </w:r>
      <w:r w:rsidR="00C45093" w:rsidRPr="00D82CC1">
        <w:rPr>
          <w:rFonts w:ascii="Arial" w:hAnsi="Arial" w:cs="Arial"/>
        </w:rPr>
        <w:t> %</w:t>
      </w:r>
      <w:r w:rsidRPr="00D82CC1">
        <w:rPr>
          <w:rFonts w:ascii="Arial" w:hAnsi="Arial" w:cs="Arial"/>
        </w:rPr>
        <w:t xml:space="preserve"> à fin T4 2023 contre </w:t>
      </w:r>
      <w:r w:rsidRPr="008F200B">
        <w:rPr>
          <w:rFonts w:ascii="Arial" w:hAnsi="Arial" w:cs="Arial"/>
        </w:rPr>
        <w:t xml:space="preserve">respectivement </w:t>
      </w:r>
      <w:r w:rsidR="008F200B" w:rsidRPr="008F200B">
        <w:rPr>
          <w:rFonts w:ascii="Arial" w:hAnsi="Arial" w:cs="Arial"/>
        </w:rPr>
        <w:noBreakHyphen/>
      </w:r>
      <w:r w:rsidRPr="008F200B">
        <w:rPr>
          <w:rFonts w:ascii="Arial" w:hAnsi="Arial" w:cs="Arial"/>
        </w:rPr>
        <w:t>0,</w:t>
      </w:r>
      <w:r w:rsidR="00D82CC1" w:rsidRPr="008F200B">
        <w:rPr>
          <w:rFonts w:ascii="Arial" w:hAnsi="Arial" w:cs="Arial"/>
        </w:rPr>
        <w:t>5</w:t>
      </w:r>
      <w:r w:rsidR="00C45093" w:rsidRPr="008F200B">
        <w:rPr>
          <w:rFonts w:ascii="Arial" w:hAnsi="Arial" w:cs="Arial"/>
        </w:rPr>
        <w:t> %</w:t>
      </w:r>
      <w:r w:rsidRPr="008F200B">
        <w:rPr>
          <w:rFonts w:ascii="Arial" w:hAnsi="Arial" w:cs="Arial"/>
        </w:rPr>
        <w:t xml:space="preserve">, </w:t>
      </w:r>
      <w:r w:rsidR="008F200B" w:rsidRPr="008F200B">
        <w:rPr>
          <w:rFonts w:ascii="Arial" w:hAnsi="Arial" w:cs="Arial"/>
        </w:rPr>
        <w:noBreakHyphen/>
      </w:r>
      <w:r w:rsidRPr="008F200B">
        <w:rPr>
          <w:rFonts w:ascii="Arial" w:hAnsi="Arial" w:cs="Arial"/>
        </w:rPr>
        <w:t>0,4</w:t>
      </w:r>
      <w:r w:rsidR="00C45093" w:rsidRPr="008F200B">
        <w:rPr>
          <w:rFonts w:ascii="Arial" w:hAnsi="Arial" w:cs="Arial"/>
        </w:rPr>
        <w:t> %</w:t>
      </w:r>
      <w:r w:rsidRPr="008F200B">
        <w:rPr>
          <w:rFonts w:ascii="Arial" w:hAnsi="Arial" w:cs="Arial"/>
        </w:rPr>
        <w:t xml:space="preserve"> et </w:t>
      </w:r>
      <w:r w:rsidR="00D82CC1" w:rsidRPr="008F200B">
        <w:rPr>
          <w:rFonts w:ascii="Arial" w:hAnsi="Arial" w:cs="Arial"/>
        </w:rPr>
        <w:t>-</w:t>
      </w:r>
      <w:r w:rsidRPr="008F200B">
        <w:rPr>
          <w:rFonts w:ascii="Arial" w:hAnsi="Arial" w:cs="Arial"/>
        </w:rPr>
        <w:t>0,1</w:t>
      </w:r>
      <w:r w:rsidR="00C45093" w:rsidRPr="008F200B">
        <w:rPr>
          <w:rFonts w:ascii="Arial" w:hAnsi="Arial" w:cs="Arial"/>
        </w:rPr>
        <w:t> %</w:t>
      </w:r>
      <w:r w:rsidRPr="008F200B">
        <w:rPr>
          <w:rFonts w:ascii="Arial" w:hAnsi="Arial" w:cs="Arial"/>
        </w:rPr>
        <w:t xml:space="preserve"> sur deux, trois et quatre trimestres. </w:t>
      </w:r>
      <w:r w:rsidR="00C45093" w:rsidRPr="008F200B">
        <w:rPr>
          <w:rFonts w:ascii="Arial" w:hAnsi="Arial" w:cs="Arial"/>
        </w:rPr>
        <w:t xml:space="preserve">On dénombre ainsi </w:t>
      </w:r>
      <w:r w:rsidRPr="008F200B">
        <w:rPr>
          <w:rFonts w:ascii="Arial" w:hAnsi="Arial" w:cs="Arial"/>
        </w:rPr>
        <w:t>9</w:t>
      </w:r>
      <w:r w:rsidR="00C45093" w:rsidRPr="008F200B">
        <w:rPr>
          <w:rFonts w:ascii="Arial" w:hAnsi="Arial" w:cs="Arial"/>
        </w:rPr>
        <w:t> </w:t>
      </w:r>
      <w:r w:rsidR="00D82CC1" w:rsidRPr="008F200B">
        <w:rPr>
          <w:rFonts w:ascii="Arial" w:hAnsi="Arial" w:cs="Arial"/>
        </w:rPr>
        <w:t>2</w:t>
      </w:r>
      <w:r w:rsidRPr="008F200B">
        <w:rPr>
          <w:rFonts w:ascii="Arial" w:hAnsi="Arial" w:cs="Arial"/>
        </w:rPr>
        <w:t xml:space="preserve">00 postes salariés </w:t>
      </w:r>
      <w:r w:rsidR="00C45093" w:rsidRPr="008F200B">
        <w:rPr>
          <w:rFonts w:ascii="Arial" w:hAnsi="Arial" w:cs="Arial"/>
        </w:rPr>
        <w:t>perdus</w:t>
      </w:r>
      <w:r w:rsidRPr="008F200B">
        <w:rPr>
          <w:rFonts w:ascii="Arial" w:hAnsi="Arial" w:cs="Arial"/>
        </w:rPr>
        <w:t xml:space="preserve"> entre les quatrièmes trimestres 2022 et 2023</w:t>
      </w:r>
      <w:r w:rsidR="00D80E67" w:rsidRPr="008F200B">
        <w:rPr>
          <w:rFonts w:ascii="Arial" w:hAnsi="Arial" w:cs="Arial"/>
        </w:rPr>
        <w:t xml:space="preserve"> (cf. graphique 1</w:t>
      </w:r>
      <w:r w:rsidR="00E67FD8" w:rsidRPr="008F200B">
        <w:rPr>
          <w:rFonts w:ascii="Arial" w:hAnsi="Arial" w:cs="Arial"/>
        </w:rPr>
        <w:t>6</w:t>
      </w:r>
      <w:r w:rsidR="00D80E67" w:rsidRPr="008F200B">
        <w:rPr>
          <w:rFonts w:ascii="Arial" w:hAnsi="Arial" w:cs="Arial"/>
        </w:rPr>
        <w:t>)</w:t>
      </w:r>
      <w:r w:rsidR="00F90185" w:rsidRPr="008F200B">
        <w:rPr>
          <w:rFonts w:ascii="Arial" w:hAnsi="Arial" w:cs="Arial"/>
        </w:rPr>
        <w:t>.</w:t>
      </w:r>
    </w:p>
    <w:p w14:paraId="18319FE6" w14:textId="2D55C49F" w:rsidR="000252C3" w:rsidRPr="008F200B" w:rsidRDefault="000252C3" w:rsidP="000252C3">
      <w:pPr>
        <w:spacing w:after="120" w:line="360" w:lineRule="auto"/>
        <w:jc w:val="both"/>
        <w:rPr>
          <w:rFonts w:ascii="Arial" w:hAnsi="Arial" w:cs="Arial"/>
        </w:rPr>
      </w:pPr>
      <w:r w:rsidRPr="008F200B">
        <w:rPr>
          <w:rFonts w:ascii="Arial" w:hAnsi="Arial" w:cs="Arial"/>
        </w:rPr>
        <w:t>Quant à l’intérim, le repli s’amplifie également, à -3,8</w:t>
      </w:r>
      <w:r w:rsidR="00C45093" w:rsidRPr="008F200B">
        <w:rPr>
          <w:rFonts w:ascii="Arial" w:hAnsi="Arial" w:cs="Arial"/>
        </w:rPr>
        <w:t> %</w:t>
      </w:r>
      <w:r w:rsidRPr="008F200B">
        <w:rPr>
          <w:rFonts w:ascii="Arial" w:hAnsi="Arial" w:cs="Arial"/>
        </w:rPr>
        <w:t xml:space="preserve"> en glissement annuel sur un trimestre à fin T4 2023, après respectivement -2,2</w:t>
      </w:r>
      <w:r w:rsidR="00C45093" w:rsidRPr="008F200B">
        <w:rPr>
          <w:rFonts w:ascii="Arial" w:hAnsi="Arial" w:cs="Arial"/>
        </w:rPr>
        <w:t> %</w:t>
      </w:r>
      <w:r w:rsidRPr="008F200B">
        <w:rPr>
          <w:rFonts w:ascii="Arial" w:hAnsi="Arial" w:cs="Arial"/>
        </w:rPr>
        <w:t>, -1,2</w:t>
      </w:r>
      <w:r w:rsidR="00C45093" w:rsidRPr="008F200B">
        <w:rPr>
          <w:rFonts w:ascii="Arial" w:hAnsi="Arial" w:cs="Arial"/>
        </w:rPr>
        <w:t> %</w:t>
      </w:r>
      <w:r w:rsidRPr="008F200B">
        <w:rPr>
          <w:rFonts w:ascii="Arial" w:hAnsi="Arial" w:cs="Arial"/>
        </w:rPr>
        <w:t xml:space="preserve"> et -1,3</w:t>
      </w:r>
      <w:r w:rsidR="00C45093" w:rsidRPr="008F200B">
        <w:rPr>
          <w:rFonts w:ascii="Arial" w:hAnsi="Arial" w:cs="Arial"/>
        </w:rPr>
        <w:t> %</w:t>
      </w:r>
      <w:r w:rsidRPr="008F200B">
        <w:rPr>
          <w:rFonts w:ascii="Arial" w:hAnsi="Arial" w:cs="Arial"/>
        </w:rPr>
        <w:t xml:space="preserve"> sur deux, trois et quatre trimestres.</w:t>
      </w:r>
      <w:r w:rsidR="00D82CC1" w:rsidRPr="008F200B">
        <w:rPr>
          <w:rFonts w:ascii="Arial" w:hAnsi="Arial" w:cs="Arial"/>
        </w:rPr>
        <w:t xml:space="preserve"> Ainsi, la baisse s’établit à 4 100 postes en équivalent-emplois à temps plein (ETP) entre les quatrièmes trimestres 2022 et 2023.</w:t>
      </w:r>
    </w:p>
    <w:p w14:paraId="41275555" w14:textId="25DE064D" w:rsidR="000252C3" w:rsidRPr="0039434A" w:rsidRDefault="000252C3" w:rsidP="000252C3">
      <w:pPr>
        <w:spacing w:after="120" w:line="360" w:lineRule="auto"/>
        <w:jc w:val="both"/>
        <w:rPr>
          <w:rFonts w:ascii="Arial" w:hAnsi="Arial" w:cs="Arial"/>
        </w:rPr>
      </w:pPr>
      <w:r w:rsidRPr="008F200B">
        <w:rPr>
          <w:rFonts w:ascii="Arial" w:hAnsi="Arial" w:cs="Arial"/>
        </w:rPr>
        <w:t xml:space="preserve">Au global, l’emploi dans le bâtiment </w:t>
      </w:r>
      <w:r w:rsidR="00C86A74" w:rsidRPr="008F200B">
        <w:rPr>
          <w:rFonts w:ascii="Arial" w:hAnsi="Arial" w:cs="Arial"/>
        </w:rPr>
        <w:t>recul</w:t>
      </w:r>
      <w:r w:rsidR="00C45093" w:rsidRPr="008F200B">
        <w:rPr>
          <w:rFonts w:ascii="Arial" w:hAnsi="Arial" w:cs="Arial"/>
        </w:rPr>
        <w:t>e</w:t>
      </w:r>
      <w:r w:rsidRPr="008F200B">
        <w:rPr>
          <w:rFonts w:ascii="Arial" w:hAnsi="Arial" w:cs="Arial"/>
        </w:rPr>
        <w:t xml:space="preserve"> de 13</w:t>
      </w:r>
      <w:r w:rsidR="00C45093" w:rsidRPr="008F200B">
        <w:rPr>
          <w:rFonts w:ascii="Arial" w:hAnsi="Arial" w:cs="Arial"/>
        </w:rPr>
        <w:t> </w:t>
      </w:r>
      <w:r w:rsidR="0039434A" w:rsidRPr="008F200B">
        <w:rPr>
          <w:rFonts w:ascii="Arial" w:hAnsi="Arial" w:cs="Arial"/>
        </w:rPr>
        <w:t>3</w:t>
      </w:r>
      <w:r w:rsidRPr="008F200B">
        <w:rPr>
          <w:rFonts w:ascii="Arial" w:hAnsi="Arial" w:cs="Arial"/>
        </w:rPr>
        <w:t>00 postes en glissement annuel sur le quatrième trimestre 2023.</w:t>
      </w:r>
    </w:p>
    <w:p w14:paraId="36A0828D" w14:textId="51A4908A" w:rsidR="00F90185" w:rsidRPr="0039434A" w:rsidRDefault="000252C3" w:rsidP="000252C3">
      <w:pPr>
        <w:spacing w:after="120" w:line="360" w:lineRule="auto"/>
        <w:jc w:val="both"/>
        <w:rPr>
          <w:rFonts w:ascii="Arial" w:hAnsi="Arial" w:cs="Arial"/>
        </w:rPr>
      </w:pPr>
      <w:r w:rsidRPr="0039434A">
        <w:rPr>
          <w:rFonts w:ascii="Arial" w:hAnsi="Arial" w:cs="Arial"/>
        </w:rPr>
        <w:t xml:space="preserve">Sur l’ensemble de 2023, le bâtiment </w:t>
      </w:r>
      <w:r w:rsidR="00C86A74" w:rsidRPr="0039434A">
        <w:rPr>
          <w:rFonts w:ascii="Arial" w:hAnsi="Arial" w:cs="Arial"/>
        </w:rPr>
        <w:t>a perdu</w:t>
      </w:r>
      <w:r w:rsidRPr="0039434A">
        <w:rPr>
          <w:rFonts w:ascii="Arial" w:hAnsi="Arial" w:cs="Arial"/>
        </w:rPr>
        <w:t xml:space="preserve"> 3</w:t>
      </w:r>
      <w:r w:rsidR="00C45093" w:rsidRPr="0039434A">
        <w:rPr>
          <w:rFonts w:ascii="Arial" w:hAnsi="Arial" w:cs="Arial"/>
        </w:rPr>
        <w:t> </w:t>
      </w:r>
      <w:r w:rsidRPr="0039434A">
        <w:rPr>
          <w:rFonts w:ascii="Arial" w:hAnsi="Arial" w:cs="Arial"/>
        </w:rPr>
        <w:t>300 postes, dont 1</w:t>
      </w:r>
      <w:r w:rsidR="00C45093" w:rsidRPr="0039434A">
        <w:rPr>
          <w:rFonts w:ascii="Arial" w:hAnsi="Arial" w:cs="Arial"/>
        </w:rPr>
        <w:t> </w:t>
      </w:r>
      <w:r w:rsidRPr="0039434A">
        <w:rPr>
          <w:rFonts w:ascii="Arial" w:hAnsi="Arial" w:cs="Arial"/>
        </w:rPr>
        <w:t>900 postes salariés et 1</w:t>
      </w:r>
      <w:r w:rsidR="00C45093" w:rsidRPr="0039434A">
        <w:rPr>
          <w:rFonts w:ascii="Arial" w:hAnsi="Arial" w:cs="Arial"/>
        </w:rPr>
        <w:t> </w:t>
      </w:r>
      <w:r w:rsidRPr="0039434A">
        <w:rPr>
          <w:rFonts w:ascii="Arial" w:hAnsi="Arial" w:cs="Arial"/>
        </w:rPr>
        <w:t>400 intérimaires ETP.</w:t>
      </w:r>
    </w:p>
    <w:p w14:paraId="71543BC2" w14:textId="77777777" w:rsidR="000932E3" w:rsidRDefault="000932E3">
      <w:pPr>
        <w:rPr>
          <w:rFonts w:ascii="Arial" w:hAnsi="Arial" w:cs="Arial"/>
        </w:rPr>
      </w:pPr>
      <w:r>
        <w:rPr>
          <w:rFonts w:ascii="Arial" w:hAnsi="Arial" w:cs="Arial"/>
        </w:rPr>
        <w:br w:type="page"/>
      </w:r>
    </w:p>
    <w:p w14:paraId="09302154" w14:textId="2A9F2D2E" w:rsidR="00431CC7" w:rsidRDefault="00431CC7" w:rsidP="004F5848">
      <w:pPr>
        <w:spacing w:after="0" w:line="360" w:lineRule="auto"/>
        <w:jc w:val="center"/>
        <w:rPr>
          <w:rFonts w:ascii="Arial" w:hAnsi="Arial" w:cs="Arial"/>
        </w:rPr>
      </w:pPr>
      <w:r>
        <w:rPr>
          <w:rFonts w:ascii="Arial" w:hAnsi="Arial" w:cs="Arial"/>
        </w:rPr>
        <w:lastRenderedPageBreak/>
        <w:t>Graphique 1</w:t>
      </w:r>
      <w:r w:rsidR="00E67FD8">
        <w:rPr>
          <w:rFonts w:ascii="Arial" w:hAnsi="Arial" w:cs="Arial"/>
        </w:rPr>
        <w:t>6</w:t>
      </w:r>
      <w:r>
        <w:rPr>
          <w:rFonts w:ascii="Arial" w:hAnsi="Arial" w:cs="Arial"/>
        </w:rPr>
        <w:t xml:space="preserve"> – </w:t>
      </w:r>
      <w:r w:rsidR="002F5B82">
        <w:rPr>
          <w:rFonts w:ascii="Arial" w:hAnsi="Arial" w:cs="Arial"/>
          <w:b/>
        </w:rPr>
        <w:t>Emploi salarié et intérimaire dans le bâtiment</w:t>
      </w:r>
    </w:p>
    <w:p w14:paraId="24D1BCEA" w14:textId="204524B0" w:rsidR="00D03529" w:rsidRDefault="00ED0F80" w:rsidP="00D03529">
      <w:pPr>
        <w:spacing w:after="60" w:line="240" w:lineRule="auto"/>
        <w:jc w:val="center"/>
        <w:rPr>
          <w:rFonts w:ascii="Arial" w:hAnsi="Arial" w:cs="Arial"/>
          <w:b/>
        </w:rPr>
      </w:pPr>
      <w:r w:rsidRPr="00ED0F80">
        <w:rPr>
          <w:rFonts w:ascii="Arial" w:hAnsi="Arial" w:cs="Arial"/>
          <w:b/>
          <w:noProof/>
        </w:rPr>
        <w:drawing>
          <wp:inline distT="0" distB="0" distL="0" distR="0" wp14:anchorId="03C5B60E" wp14:editId="6399F7B1">
            <wp:extent cx="5760720" cy="3064510"/>
            <wp:effectExtent l="0" t="0" r="0" b="2540"/>
            <wp:docPr id="4345973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7E48CF54" w14:textId="1546C636" w:rsidR="00431CC7" w:rsidRPr="008C061C" w:rsidRDefault="00431CC7" w:rsidP="00431CC7">
      <w:pPr>
        <w:spacing w:before="60" w:after="120" w:line="360" w:lineRule="auto"/>
        <w:jc w:val="center"/>
        <w:rPr>
          <w:rFonts w:ascii="Arial" w:hAnsi="Arial" w:cs="Arial"/>
          <w:i/>
          <w:sz w:val="20"/>
          <w:szCs w:val="20"/>
        </w:rPr>
      </w:pPr>
      <w:r w:rsidRPr="008C061C">
        <w:rPr>
          <w:rFonts w:ascii="Arial" w:hAnsi="Arial" w:cs="Arial"/>
          <w:i/>
          <w:sz w:val="20"/>
          <w:szCs w:val="20"/>
        </w:rPr>
        <w:t xml:space="preserve">Source : </w:t>
      </w:r>
      <w:r w:rsidR="002F5B82">
        <w:rPr>
          <w:rFonts w:ascii="Arial" w:hAnsi="Arial" w:cs="Arial"/>
          <w:i/>
          <w:sz w:val="20"/>
          <w:szCs w:val="20"/>
        </w:rPr>
        <w:t>FFB d’après Ministère du travail, Dares et Insee</w:t>
      </w:r>
    </w:p>
    <w:p w14:paraId="0FAF9139" w14:textId="19E03C45" w:rsidR="0041212A" w:rsidRDefault="009C3AFE" w:rsidP="0041212A">
      <w:pPr>
        <w:spacing w:after="120" w:line="360" w:lineRule="auto"/>
        <w:jc w:val="both"/>
        <w:rPr>
          <w:rFonts w:ascii="Arial" w:hAnsi="Arial" w:cs="Arial"/>
        </w:rPr>
      </w:pPr>
      <w:r w:rsidRPr="00F90185">
        <w:rPr>
          <w:rFonts w:ascii="Arial" w:hAnsi="Arial" w:cs="Arial"/>
        </w:rPr>
        <w:t>Pour autant, les difficultés de recrutement chez les entreprises de plus de dix salariés restent à niveau élevé sur le quatrième trimestre 2023, 79,3</w:t>
      </w:r>
      <w:r w:rsidR="00F90185" w:rsidRPr="00F90185">
        <w:rPr>
          <w:rFonts w:ascii="Arial" w:hAnsi="Arial" w:cs="Arial"/>
        </w:rPr>
        <w:t> %</w:t>
      </w:r>
      <w:r w:rsidRPr="00F90185">
        <w:rPr>
          <w:rFonts w:ascii="Arial" w:hAnsi="Arial" w:cs="Arial"/>
        </w:rPr>
        <w:t xml:space="preserve"> d’entre </w:t>
      </w:r>
      <w:r w:rsidR="00F90185">
        <w:rPr>
          <w:rFonts w:ascii="Arial" w:hAnsi="Arial" w:cs="Arial"/>
        </w:rPr>
        <w:t>elles</w:t>
      </w:r>
      <w:r w:rsidRPr="00F90185">
        <w:rPr>
          <w:rFonts w:ascii="Arial" w:hAnsi="Arial" w:cs="Arial"/>
        </w:rPr>
        <w:t xml:space="preserve"> déclarant en souffrir (cf. graphique 1</w:t>
      </w:r>
      <w:r w:rsidR="00E67FD8">
        <w:rPr>
          <w:rFonts w:ascii="Arial" w:hAnsi="Arial" w:cs="Arial"/>
        </w:rPr>
        <w:t>7</w:t>
      </w:r>
      <w:r w:rsidRPr="00F90185">
        <w:rPr>
          <w:rFonts w:ascii="Arial" w:hAnsi="Arial" w:cs="Arial"/>
        </w:rPr>
        <w:t>), contre environ 60</w:t>
      </w:r>
      <w:r w:rsidR="00F90185" w:rsidRPr="00F90185">
        <w:rPr>
          <w:rFonts w:ascii="Arial" w:hAnsi="Arial" w:cs="Arial"/>
        </w:rPr>
        <w:t> %</w:t>
      </w:r>
      <w:r w:rsidRPr="00F90185">
        <w:rPr>
          <w:rFonts w:ascii="Arial" w:hAnsi="Arial" w:cs="Arial"/>
        </w:rPr>
        <w:t xml:space="preserve"> en moyenne depuis début 90</w:t>
      </w:r>
      <w:r w:rsidR="0041212A" w:rsidRPr="00F90185">
        <w:rPr>
          <w:rFonts w:ascii="Arial" w:hAnsi="Arial" w:cs="Arial"/>
        </w:rPr>
        <w:t>.</w:t>
      </w:r>
      <w:r w:rsidR="0041212A" w:rsidRPr="00ED3322">
        <w:rPr>
          <w:rFonts w:ascii="Arial" w:hAnsi="Arial" w:cs="Arial"/>
        </w:rPr>
        <w:t xml:space="preserve"> </w:t>
      </w:r>
    </w:p>
    <w:p w14:paraId="5D62DFCB" w14:textId="6DDD8C15" w:rsidR="0041212A" w:rsidRPr="002B0511" w:rsidRDefault="0041212A" w:rsidP="0041212A">
      <w:pPr>
        <w:spacing w:after="0" w:line="360" w:lineRule="auto"/>
        <w:jc w:val="center"/>
        <w:rPr>
          <w:rFonts w:ascii="Arial" w:hAnsi="Arial" w:cs="Arial"/>
          <w:b/>
          <w:bCs/>
        </w:rPr>
      </w:pPr>
      <w:r w:rsidRPr="4FF09C5F">
        <w:rPr>
          <w:rFonts w:ascii="Arial" w:hAnsi="Arial" w:cs="Arial"/>
        </w:rPr>
        <w:t xml:space="preserve">Graphique </w:t>
      </w:r>
      <w:r>
        <w:rPr>
          <w:rFonts w:ascii="Arial" w:hAnsi="Arial" w:cs="Arial"/>
        </w:rPr>
        <w:t>1</w:t>
      </w:r>
      <w:r w:rsidR="00E67FD8">
        <w:rPr>
          <w:rFonts w:ascii="Arial" w:hAnsi="Arial" w:cs="Arial"/>
        </w:rPr>
        <w:t>7</w:t>
      </w:r>
      <w:r>
        <w:rPr>
          <w:rFonts w:ascii="Arial" w:hAnsi="Arial" w:cs="Arial"/>
        </w:rPr>
        <w:t xml:space="preserve"> </w:t>
      </w:r>
      <w:r w:rsidRPr="4FF09C5F">
        <w:rPr>
          <w:rFonts w:ascii="Arial" w:hAnsi="Arial" w:cs="Arial"/>
        </w:rPr>
        <w:t xml:space="preserve">– </w:t>
      </w:r>
      <w:r>
        <w:rPr>
          <w:rFonts w:ascii="Arial" w:hAnsi="Arial" w:cs="Arial"/>
          <w:b/>
          <w:bCs/>
        </w:rPr>
        <w:t>Part</w:t>
      </w:r>
      <w:r w:rsidRPr="4FF09C5F">
        <w:rPr>
          <w:rFonts w:ascii="Arial" w:hAnsi="Arial" w:cs="Arial"/>
          <w:b/>
          <w:bCs/>
        </w:rPr>
        <w:t xml:space="preserve"> des </w:t>
      </w:r>
      <w:r>
        <w:rPr>
          <w:rFonts w:ascii="Arial" w:hAnsi="Arial" w:cs="Arial"/>
          <w:b/>
          <w:bCs/>
        </w:rPr>
        <w:t xml:space="preserve">entreprises </w:t>
      </w:r>
      <w:r w:rsidR="00291BB6">
        <w:rPr>
          <w:rFonts w:ascii="Arial" w:hAnsi="Arial" w:cs="Arial"/>
          <w:b/>
          <w:bCs/>
        </w:rPr>
        <w:t xml:space="preserve">de plus de dix salariés </w:t>
      </w:r>
      <w:r>
        <w:rPr>
          <w:rFonts w:ascii="Arial" w:hAnsi="Arial" w:cs="Arial"/>
          <w:b/>
          <w:bCs/>
        </w:rPr>
        <w:t>éprouvant des difficultés de recrutement</w:t>
      </w:r>
    </w:p>
    <w:p w14:paraId="35304F68" w14:textId="3EBB3D78" w:rsidR="0041212A" w:rsidRPr="00A44B3E" w:rsidRDefault="0063583F" w:rsidP="0041212A">
      <w:pPr>
        <w:spacing w:after="60" w:line="240" w:lineRule="auto"/>
        <w:jc w:val="center"/>
        <w:rPr>
          <w:rFonts w:ascii="Arial" w:hAnsi="Arial" w:cs="Arial"/>
        </w:rPr>
      </w:pPr>
      <w:r w:rsidRPr="0063583F">
        <w:rPr>
          <w:rFonts w:ascii="Arial" w:hAnsi="Arial" w:cs="Arial"/>
          <w:noProof/>
        </w:rPr>
        <w:drawing>
          <wp:inline distT="0" distB="0" distL="0" distR="0" wp14:anchorId="605CB91A" wp14:editId="6AEDC2C3">
            <wp:extent cx="5760720" cy="3064510"/>
            <wp:effectExtent l="0" t="0" r="0" b="2540"/>
            <wp:docPr id="119361968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19630866" w14:textId="77777777" w:rsidR="0041212A" w:rsidRDefault="0041212A" w:rsidP="0041212A">
      <w:pPr>
        <w:spacing w:before="60" w:after="120" w:line="360" w:lineRule="auto"/>
        <w:jc w:val="center"/>
        <w:rPr>
          <w:rFonts w:ascii="Arial" w:hAnsi="Arial" w:cs="Arial"/>
          <w:i/>
          <w:iCs/>
          <w:sz w:val="20"/>
          <w:szCs w:val="20"/>
        </w:rPr>
      </w:pPr>
      <w:r w:rsidRPr="4FF09C5F">
        <w:rPr>
          <w:rFonts w:ascii="Arial" w:hAnsi="Arial" w:cs="Arial"/>
          <w:i/>
          <w:iCs/>
          <w:sz w:val="20"/>
          <w:szCs w:val="20"/>
        </w:rPr>
        <w:t>Source : Insee</w:t>
      </w:r>
    </w:p>
    <w:p w14:paraId="19F2190F" w14:textId="02626120" w:rsidR="00ED3322" w:rsidRDefault="009C3AFE" w:rsidP="00ED3322">
      <w:pPr>
        <w:spacing w:after="120" w:line="360" w:lineRule="auto"/>
        <w:jc w:val="both"/>
        <w:rPr>
          <w:rFonts w:ascii="Arial" w:hAnsi="Arial" w:cs="Arial"/>
        </w:rPr>
      </w:pPr>
      <w:r w:rsidRPr="00F90185">
        <w:rPr>
          <w:rFonts w:ascii="Arial" w:hAnsi="Arial" w:cs="Arial"/>
        </w:rPr>
        <w:lastRenderedPageBreak/>
        <w:t xml:space="preserve">À l’horizon du printemps, les intentions d’embauche continuent de se tasser chez les </w:t>
      </w:r>
      <w:r w:rsidRPr="008F200B">
        <w:rPr>
          <w:rFonts w:ascii="Arial" w:hAnsi="Arial" w:cs="Arial"/>
        </w:rPr>
        <w:t>entreprises de plus de dix salariés (cf. graphique 1</w:t>
      </w:r>
      <w:r w:rsidR="00E67FD8" w:rsidRPr="008F200B">
        <w:rPr>
          <w:rFonts w:ascii="Arial" w:hAnsi="Arial" w:cs="Arial"/>
        </w:rPr>
        <w:t>8</w:t>
      </w:r>
      <w:r w:rsidRPr="008F200B">
        <w:rPr>
          <w:rFonts w:ascii="Arial" w:hAnsi="Arial" w:cs="Arial"/>
        </w:rPr>
        <w:t>), même si elles se maintiennent encore 1,</w:t>
      </w:r>
      <w:r w:rsidR="00126E56" w:rsidRPr="008F200B">
        <w:rPr>
          <w:rFonts w:ascii="Arial" w:hAnsi="Arial" w:cs="Arial"/>
        </w:rPr>
        <w:t>9</w:t>
      </w:r>
      <w:r w:rsidRPr="008F200B">
        <w:rPr>
          <w:rFonts w:ascii="Arial" w:hAnsi="Arial" w:cs="Arial"/>
        </w:rPr>
        <w:t xml:space="preserve"> point</w:t>
      </w:r>
      <w:r w:rsidRPr="00F90185">
        <w:rPr>
          <w:rFonts w:ascii="Arial" w:hAnsi="Arial" w:cs="Arial"/>
        </w:rPr>
        <w:t xml:space="preserve"> au-dessus de leur moyenne de long terme</w:t>
      </w:r>
      <w:r w:rsidR="00ED3322" w:rsidRPr="00F90185">
        <w:rPr>
          <w:rFonts w:ascii="Arial" w:hAnsi="Arial" w:cs="Arial"/>
        </w:rPr>
        <w:t>.</w:t>
      </w:r>
    </w:p>
    <w:p w14:paraId="550B2CBE" w14:textId="686BEB44" w:rsidR="00ED3322" w:rsidRPr="000965EA" w:rsidRDefault="00ED3322" w:rsidP="00ED3322">
      <w:pPr>
        <w:spacing w:after="0" w:line="360" w:lineRule="auto"/>
        <w:jc w:val="center"/>
        <w:rPr>
          <w:rFonts w:ascii="Arial" w:hAnsi="Arial" w:cs="Arial"/>
          <w:b/>
        </w:rPr>
      </w:pPr>
      <w:r w:rsidRPr="002F1C8C">
        <w:rPr>
          <w:rFonts w:ascii="Arial" w:hAnsi="Arial" w:cs="Arial"/>
        </w:rPr>
        <w:t>Graphique</w:t>
      </w:r>
      <w:r>
        <w:rPr>
          <w:rFonts w:ascii="Arial" w:hAnsi="Arial" w:cs="Arial"/>
        </w:rPr>
        <w:t xml:space="preserve"> 1</w:t>
      </w:r>
      <w:r w:rsidR="00E67FD8">
        <w:rPr>
          <w:rFonts w:ascii="Arial" w:hAnsi="Arial" w:cs="Arial"/>
        </w:rPr>
        <w:t>8</w:t>
      </w:r>
      <w:r w:rsidRPr="002F1C8C">
        <w:rPr>
          <w:rFonts w:ascii="Arial" w:hAnsi="Arial" w:cs="Arial"/>
        </w:rPr>
        <w:t xml:space="preserve"> – </w:t>
      </w:r>
      <w:r w:rsidRPr="002F1C8C">
        <w:rPr>
          <w:rFonts w:ascii="Arial" w:hAnsi="Arial" w:cs="Arial"/>
          <w:b/>
        </w:rPr>
        <w:t xml:space="preserve">Opinions des chefs d’entreprise sur </w:t>
      </w:r>
      <w:r>
        <w:rPr>
          <w:rFonts w:ascii="Arial" w:hAnsi="Arial" w:cs="Arial"/>
          <w:b/>
        </w:rPr>
        <w:t>les perspectives d’emploi salarié</w:t>
      </w:r>
      <w:r w:rsidRPr="002F1C8C">
        <w:rPr>
          <w:rFonts w:ascii="Arial" w:hAnsi="Arial" w:cs="Arial"/>
          <w:b/>
        </w:rPr>
        <w:t xml:space="preserve"> dans le bâtiment</w:t>
      </w:r>
    </w:p>
    <w:p w14:paraId="28C05CBA" w14:textId="705B17C9" w:rsidR="00ED3322" w:rsidRDefault="00ED0F80" w:rsidP="00DD4BBC">
      <w:pPr>
        <w:spacing w:after="60" w:line="240" w:lineRule="auto"/>
        <w:jc w:val="center"/>
        <w:rPr>
          <w:rFonts w:ascii="Arial" w:hAnsi="Arial" w:cs="Arial"/>
          <w:noProof/>
          <w:lang w:eastAsia="fr-FR"/>
        </w:rPr>
      </w:pPr>
      <w:r w:rsidRPr="00ED0F80">
        <w:rPr>
          <w:rFonts w:ascii="Arial" w:hAnsi="Arial" w:cs="Arial"/>
          <w:noProof/>
          <w:lang w:eastAsia="fr-FR"/>
        </w:rPr>
        <w:drawing>
          <wp:inline distT="0" distB="0" distL="0" distR="0" wp14:anchorId="7B71FEFD" wp14:editId="699DABD0">
            <wp:extent cx="5760720" cy="3064510"/>
            <wp:effectExtent l="0" t="0" r="0" b="2540"/>
            <wp:docPr id="485248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76B20E07" w14:textId="77777777" w:rsidR="00ED3322" w:rsidRPr="008E69BA" w:rsidRDefault="00ED3322" w:rsidP="00ED3322">
      <w:pPr>
        <w:spacing w:before="60" w:after="120" w:line="360" w:lineRule="auto"/>
        <w:jc w:val="center"/>
        <w:rPr>
          <w:rFonts w:ascii="Arial" w:hAnsi="Arial" w:cs="Arial"/>
          <w:i/>
          <w:sz w:val="20"/>
          <w:szCs w:val="20"/>
        </w:rPr>
      </w:pPr>
      <w:r w:rsidRPr="008E69BA">
        <w:rPr>
          <w:rFonts w:ascii="Arial" w:hAnsi="Arial" w:cs="Arial"/>
          <w:i/>
          <w:sz w:val="20"/>
          <w:szCs w:val="20"/>
        </w:rPr>
        <w:t xml:space="preserve">Source : </w:t>
      </w:r>
      <w:r>
        <w:rPr>
          <w:rFonts w:ascii="Arial" w:hAnsi="Arial" w:cs="Arial"/>
          <w:i/>
          <w:sz w:val="20"/>
          <w:szCs w:val="20"/>
        </w:rPr>
        <w:t xml:space="preserve">calculs FFB d’après </w:t>
      </w:r>
      <w:r w:rsidRPr="008E69BA">
        <w:rPr>
          <w:rFonts w:ascii="Arial" w:hAnsi="Arial" w:cs="Arial"/>
          <w:i/>
          <w:sz w:val="20"/>
          <w:szCs w:val="20"/>
        </w:rPr>
        <w:t>Insee</w:t>
      </w:r>
    </w:p>
    <w:p w14:paraId="4D2CF4D3" w14:textId="70497C34" w:rsidR="00A834A2" w:rsidRPr="002A724E" w:rsidRDefault="004F582B" w:rsidP="00134E44">
      <w:pPr>
        <w:spacing w:before="360" w:after="120" w:line="360" w:lineRule="auto"/>
        <w:rPr>
          <w:rFonts w:ascii="Arial" w:hAnsi="Arial" w:cs="Arial"/>
          <w:u w:val="single"/>
        </w:rPr>
      </w:pPr>
      <w:r>
        <w:rPr>
          <w:rFonts w:ascii="Arial" w:hAnsi="Arial" w:cs="Arial"/>
          <w:u w:val="single"/>
        </w:rPr>
        <w:t>3.</w:t>
      </w:r>
      <w:r w:rsidR="00A834A2" w:rsidRPr="00AC597D">
        <w:rPr>
          <w:rFonts w:ascii="Arial" w:hAnsi="Arial" w:cs="Arial"/>
          <w:u w:val="single"/>
        </w:rPr>
        <w:t xml:space="preserve">2 </w:t>
      </w:r>
      <w:r w:rsidR="00A834A2" w:rsidRPr="002A724E">
        <w:rPr>
          <w:rFonts w:ascii="Arial" w:hAnsi="Arial" w:cs="Arial"/>
          <w:u w:val="single"/>
        </w:rPr>
        <w:t>La démographie des entreprises</w:t>
      </w:r>
    </w:p>
    <w:p w14:paraId="42EFAF8E" w14:textId="4725D0D2" w:rsidR="00835363" w:rsidRPr="0051344C" w:rsidRDefault="00835363" w:rsidP="00835363">
      <w:pPr>
        <w:spacing w:after="120" w:line="360" w:lineRule="auto"/>
        <w:jc w:val="both"/>
        <w:rPr>
          <w:rFonts w:ascii="Arial" w:hAnsi="Arial" w:cs="Arial"/>
        </w:rPr>
      </w:pPr>
      <w:r w:rsidRPr="008F200B">
        <w:rPr>
          <w:rFonts w:ascii="Arial" w:hAnsi="Arial" w:cs="Arial"/>
        </w:rPr>
        <w:t xml:space="preserve">Selon l’Insee, en </w:t>
      </w:r>
      <w:r w:rsidR="0051344C" w:rsidRPr="008F200B">
        <w:rPr>
          <w:rFonts w:ascii="Arial" w:hAnsi="Arial" w:cs="Arial"/>
        </w:rPr>
        <w:t>glissement annuel sur trois mois à fin janvier 2024</w:t>
      </w:r>
      <w:r w:rsidRPr="008F200B">
        <w:rPr>
          <w:rFonts w:ascii="Arial" w:hAnsi="Arial" w:cs="Arial"/>
        </w:rPr>
        <w:t xml:space="preserve">, hors micro-entrepreneurs, les créations d’entreprises dans la construction </w:t>
      </w:r>
      <w:r w:rsidR="0051344C" w:rsidRPr="008F200B">
        <w:rPr>
          <w:rFonts w:ascii="Arial" w:hAnsi="Arial" w:cs="Arial"/>
        </w:rPr>
        <w:t xml:space="preserve">reculent </w:t>
      </w:r>
      <w:r w:rsidR="000405BC" w:rsidRPr="008F200B">
        <w:rPr>
          <w:rFonts w:ascii="Arial" w:hAnsi="Arial" w:cs="Arial"/>
        </w:rPr>
        <w:t xml:space="preserve">de </w:t>
      </w:r>
      <w:r w:rsidR="0051344C" w:rsidRPr="008F200B">
        <w:rPr>
          <w:rFonts w:ascii="Arial" w:hAnsi="Arial" w:cs="Arial"/>
        </w:rPr>
        <w:t>8</w:t>
      </w:r>
      <w:r w:rsidR="000405BC" w:rsidRPr="008F200B">
        <w:rPr>
          <w:rFonts w:ascii="Arial" w:hAnsi="Arial" w:cs="Arial"/>
        </w:rPr>
        <w:t>,</w:t>
      </w:r>
      <w:r w:rsidR="0051344C" w:rsidRPr="008F200B">
        <w:rPr>
          <w:rFonts w:ascii="Arial" w:hAnsi="Arial" w:cs="Arial"/>
        </w:rPr>
        <w:t>3</w:t>
      </w:r>
      <w:r w:rsidR="00CC7623" w:rsidRPr="008F200B">
        <w:rPr>
          <w:rFonts w:ascii="Arial" w:hAnsi="Arial" w:cs="Arial"/>
        </w:rPr>
        <w:t> %</w:t>
      </w:r>
      <w:r w:rsidR="00C1012D" w:rsidRPr="008F200B">
        <w:rPr>
          <w:rFonts w:ascii="Arial" w:hAnsi="Arial" w:cs="Arial"/>
        </w:rPr>
        <w:t xml:space="preserve"> (</w:t>
      </w:r>
      <w:r w:rsidR="00BD29B2" w:rsidRPr="008F200B">
        <w:rPr>
          <w:rFonts w:ascii="Arial" w:hAnsi="Arial" w:cs="Arial"/>
        </w:rPr>
        <w:t xml:space="preserve">cf. graphique </w:t>
      </w:r>
      <w:r w:rsidR="00E67FD8" w:rsidRPr="008F200B">
        <w:rPr>
          <w:rFonts w:ascii="Arial" w:hAnsi="Arial" w:cs="Arial"/>
        </w:rPr>
        <w:t>19</w:t>
      </w:r>
      <w:r w:rsidR="00C1012D" w:rsidRPr="008F200B">
        <w:rPr>
          <w:rFonts w:ascii="Arial" w:hAnsi="Arial" w:cs="Arial"/>
        </w:rPr>
        <w:t>)</w:t>
      </w:r>
      <w:r w:rsidR="008139DF" w:rsidRPr="008F200B">
        <w:rPr>
          <w:rFonts w:ascii="Arial" w:hAnsi="Arial" w:cs="Arial"/>
        </w:rPr>
        <w:t xml:space="preserve">, </w:t>
      </w:r>
      <w:r w:rsidR="0051344C" w:rsidRPr="008F200B">
        <w:rPr>
          <w:rFonts w:ascii="Arial" w:hAnsi="Arial" w:cs="Arial"/>
        </w:rPr>
        <w:t xml:space="preserve">alors qu’elles augmentent </w:t>
      </w:r>
      <w:r w:rsidR="008F200B">
        <w:rPr>
          <w:rFonts w:ascii="Arial" w:hAnsi="Arial" w:cs="Arial"/>
        </w:rPr>
        <w:t xml:space="preserve">encore </w:t>
      </w:r>
      <w:r w:rsidR="0051344C" w:rsidRPr="008F200B">
        <w:rPr>
          <w:rFonts w:ascii="Arial" w:hAnsi="Arial" w:cs="Arial"/>
        </w:rPr>
        <w:t>légèrement</w:t>
      </w:r>
      <w:r w:rsidR="00081D20" w:rsidRPr="008F200B">
        <w:rPr>
          <w:rFonts w:ascii="Arial" w:hAnsi="Arial" w:cs="Arial"/>
        </w:rPr>
        <w:t xml:space="preserve"> </w:t>
      </w:r>
      <w:r w:rsidR="00F1016B" w:rsidRPr="008F200B">
        <w:rPr>
          <w:rFonts w:ascii="Arial" w:hAnsi="Arial" w:cs="Arial"/>
        </w:rPr>
        <w:t>pour</w:t>
      </w:r>
      <w:r w:rsidR="008139DF" w:rsidRPr="008F200B">
        <w:rPr>
          <w:rFonts w:ascii="Arial" w:hAnsi="Arial" w:cs="Arial"/>
        </w:rPr>
        <w:t xml:space="preserve"> l’ensemble de l’économie</w:t>
      </w:r>
      <w:r w:rsidR="000405BC" w:rsidRPr="008F200B">
        <w:rPr>
          <w:rFonts w:ascii="Arial" w:hAnsi="Arial" w:cs="Arial"/>
        </w:rPr>
        <w:t xml:space="preserve"> (</w:t>
      </w:r>
      <w:r w:rsidR="0051344C" w:rsidRPr="008F200B">
        <w:rPr>
          <w:rFonts w:ascii="Arial" w:hAnsi="Arial" w:cs="Arial"/>
        </w:rPr>
        <w:t>+1,1 </w:t>
      </w:r>
      <w:r w:rsidR="00CC7623" w:rsidRPr="008F200B">
        <w:rPr>
          <w:rFonts w:ascii="Arial" w:hAnsi="Arial" w:cs="Arial"/>
        </w:rPr>
        <w:t>%</w:t>
      </w:r>
      <w:r w:rsidR="00081D20" w:rsidRPr="008F200B">
        <w:rPr>
          <w:rFonts w:ascii="Arial" w:hAnsi="Arial" w:cs="Arial"/>
        </w:rPr>
        <w:t>)</w:t>
      </w:r>
      <w:r w:rsidR="00B96DF6" w:rsidRPr="008F200B">
        <w:rPr>
          <w:rFonts w:ascii="Arial" w:hAnsi="Arial" w:cs="Arial"/>
        </w:rPr>
        <w:t>.</w:t>
      </w:r>
    </w:p>
    <w:p w14:paraId="7B5CBE31" w14:textId="691BE706" w:rsidR="000932E3" w:rsidRPr="008F200B" w:rsidRDefault="000932E3" w:rsidP="000932E3">
      <w:pPr>
        <w:spacing w:after="120" w:line="360" w:lineRule="auto"/>
        <w:jc w:val="both"/>
        <w:rPr>
          <w:rFonts w:ascii="Arial" w:hAnsi="Arial" w:cs="Arial"/>
        </w:rPr>
      </w:pPr>
      <w:r w:rsidRPr="008F200B">
        <w:rPr>
          <w:rFonts w:ascii="Arial" w:hAnsi="Arial" w:cs="Arial"/>
        </w:rPr>
        <w:t xml:space="preserve">Quant aux défaillances dans </w:t>
      </w:r>
      <w:r w:rsidR="00ED6CA5" w:rsidRPr="008F200B">
        <w:rPr>
          <w:rFonts w:ascii="Arial" w:hAnsi="Arial" w:cs="Arial"/>
        </w:rPr>
        <w:t>le bâtiment</w:t>
      </w:r>
      <w:r w:rsidRPr="008F200B">
        <w:rPr>
          <w:rFonts w:ascii="Arial" w:hAnsi="Arial" w:cs="Arial"/>
        </w:rPr>
        <w:t>,</w:t>
      </w:r>
      <w:r w:rsidR="00ED6CA5" w:rsidRPr="008F200B">
        <w:rPr>
          <w:rFonts w:ascii="Arial" w:hAnsi="Arial" w:cs="Arial"/>
        </w:rPr>
        <w:t xml:space="preserve"> selon Altares, </w:t>
      </w:r>
      <w:r w:rsidRPr="008F200B">
        <w:rPr>
          <w:rFonts w:ascii="Arial" w:hAnsi="Arial" w:cs="Arial"/>
        </w:rPr>
        <w:t>elles s’envolent de 4</w:t>
      </w:r>
      <w:r w:rsidR="00ED6CA5" w:rsidRPr="008F200B">
        <w:rPr>
          <w:rFonts w:ascii="Arial" w:hAnsi="Arial" w:cs="Arial"/>
        </w:rPr>
        <w:t>0</w:t>
      </w:r>
      <w:r w:rsidRPr="008F200B">
        <w:rPr>
          <w:rFonts w:ascii="Arial" w:hAnsi="Arial" w:cs="Arial"/>
        </w:rPr>
        <w:t>,</w:t>
      </w:r>
      <w:r w:rsidR="00ED6CA5" w:rsidRPr="008F200B">
        <w:rPr>
          <w:rFonts w:ascii="Arial" w:hAnsi="Arial" w:cs="Arial"/>
        </w:rPr>
        <w:t>3</w:t>
      </w:r>
      <w:r w:rsidRPr="008F200B">
        <w:rPr>
          <w:rFonts w:ascii="Arial" w:hAnsi="Arial" w:cs="Arial"/>
        </w:rPr>
        <w:t xml:space="preserve"> % </w:t>
      </w:r>
      <w:r w:rsidR="00ED6CA5" w:rsidRPr="008F200B">
        <w:rPr>
          <w:rFonts w:ascii="Arial" w:hAnsi="Arial" w:cs="Arial"/>
        </w:rPr>
        <w:t>sur la même période et même de 32,4 %</w:t>
      </w:r>
      <w:r w:rsidRPr="008F200B">
        <w:rPr>
          <w:rFonts w:ascii="Arial" w:hAnsi="Arial" w:cs="Arial"/>
        </w:rPr>
        <w:t xml:space="preserve"> </w:t>
      </w:r>
      <w:r w:rsidR="00ED6CA5" w:rsidRPr="008F200B">
        <w:rPr>
          <w:rFonts w:ascii="Arial" w:hAnsi="Arial" w:cs="Arial"/>
        </w:rPr>
        <w:t>par rapport au</w:t>
      </w:r>
      <w:r w:rsidRPr="008F200B">
        <w:rPr>
          <w:rFonts w:ascii="Arial" w:hAnsi="Arial" w:cs="Arial"/>
        </w:rPr>
        <w:t xml:space="preserve"> niveau d’avant crise sanitaire (</w:t>
      </w:r>
      <w:r w:rsidR="00ED6CA5" w:rsidRPr="008F200B">
        <w:rPr>
          <w:rFonts w:ascii="Arial" w:hAnsi="Arial" w:cs="Arial"/>
        </w:rPr>
        <w:t>novembre 2019 à janvier 2020</w:t>
      </w:r>
      <w:r w:rsidRPr="008F200B">
        <w:rPr>
          <w:rFonts w:ascii="Arial" w:hAnsi="Arial" w:cs="Arial"/>
        </w:rPr>
        <w:t>)</w:t>
      </w:r>
      <w:r w:rsidR="00ED6CA5" w:rsidRPr="008F200B">
        <w:rPr>
          <w:rFonts w:ascii="Arial" w:hAnsi="Arial" w:cs="Arial"/>
        </w:rPr>
        <w:t>, sans disparité entre gros œuvre (+31,9 %) et second œuvre (+32,7 %)</w:t>
      </w:r>
      <w:r w:rsidRPr="008F200B">
        <w:rPr>
          <w:rFonts w:ascii="Arial" w:hAnsi="Arial" w:cs="Arial"/>
        </w:rPr>
        <w:t xml:space="preserve">. </w:t>
      </w:r>
      <w:r w:rsidR="006D3E2E" w:rsidRPr="008F200B">
        <w:rPr>
          <w:rFonts w:ascii="Arial" w:hAnsi="Arial" w:cs="Arial"/>
        </w:rPr>
        <w:t>Au sein de ce dernier, les entreprises d’installations électriques et de couverture-plomberie affichent les progressions les plus importantes, à respectivement +51,8 % et +41,6 %.</w:t>
      </w:r>
      <w:r w:rsidR="004F6D0E" w:rsidRPr="008F200B">
        <w:rPr>
          <w:rFonts w:ascii="Arial" w:hAnsi="Arial" w:cs="Arial"/>
        </w:rPr>
        <w:t xml:space="preserve"> Par ailleurs, toutes les tailles d’entreprises se lisent en hausse, les structures sans salarié en tête (+147,2 %)</w:t>
      </w:r>
      <w:r w:rsidR="00844C5D">
        <w:rPr>
          <w:rFonts w:ascii="Arial" w:hAnsi="Arial" w:cs="Arial"/>
        </w:rPr>
        <w:t>, mais suivies de celles de 50 salariés et plus (doublement, avec 8 entreprises concernées)</w:t>
      </w:r>
      <w:r w:rsidR="004F6D0E" w:rsidRPr="008F200B">
        <w:rPr>
          <w:rFonts w:ascii="Arial" w:hAnsi="Arial" w:cs="Arial"/>
        </w:rPr>
        <w:t>.</w:t>
      </w:r>
    </w:p>
    <w:p w14:paraId="3D45FCB7" w14:textId="77777777" w:rsidR="00ED6CA5" w:rsidRDefault="00ED6CA5">
      <w:pPr>
        <w:rPr>
          <w:rFonts w:ascii="Arial" w:hAnsi="Arial" w:cs="Arial"/>
        </w:rPr>
      </w:pPr>
      <w:r>
        <w:rPr>
          <w:rFonts w:ascii="Arial" w:hAnsi="Arial" w:cs="Arial"/>
        </w:rPr>
        <w:br w:type="page"/>
      </w:r>
    </w:p>
    <w:p w14:paraId="2A92943D" w14:textId="7029F492" w:rsidR="008D170E" w:rsidRPr="00CE4DB2" w:rsidRDefault="008D170E" w:rsidP="00906346">
      <w:pPr>
        <w:spacing w:after="0" w:line="360" w:lineRule="auto"/>
        <w:jc w:val="center"/>
        <w:rPr>
          <w:rFonts w:ascii="Arial" w:hAnsi="Arial" w:cs="Arial"/>
          <w:b/>
        </w:rPr>
      </w:pPr>
      <w:r w:rsidRPr="00CE4DB2">
        <w:rPr>
          <w:rFonts w:ascii="Arial" w:hAnsi="Arial" w:cs="Arial"/>
        </w:rPr>
        <w:lastRenderedPageBreak/>
        <w:t xml:space="preserve">Graphique </w:t>
      </w:r>
      <w:r w:rsidR="00E67FD8">
        <w:rPr>
          <w:rFonts w:ascii="Arial" w:hAnsi="Arial" w:cs="Arial"/>
        </w:rPr>
        <w:t>19</w:t>
      </w:r>
      <w:r w:rsidRPr="00CE4DB2">
        <w:rPr>
          <w:rFonts w:ascii="Arial" w:hAnsi="Arial" w:cs="Arial"/>
        </w:rPr>
        <w:t xml:space="preserve"> – </w:t>
      </w:r>
      <w:r w:rsidRPr="00CE4DB2">
        <w:rPr>
          <w:rFonts w:ascii="Arial" w:hAnsi="Arial" w:cs="Arial"/>
          <w:b/>
        </w:rPr>
        <w:t>Créations et défaillances d’entreprises dans la construction</w:t>
      </w:r>
    </w:p>
    <w:p w14:paraId="544DC4D8" w14:textId="52A49B2F" w:rsidR="008D170E" w:rsidRPr="00C26FE7" w:rsidRDefault="00232375" w:rsidP="00C82E04">
      <w:pPr>
        <w:spacing w:after="60" w:line="240" w:lineRule="auto"/>
        <w:jc w:val="center"/>
        <w:rPr>
          <w:rFonts w:ascii="Arial" w:hAnsi="Arial" w:cs="Arial"/>
          <w:sz w:val="20"/>
          <w:szCs w:val="20"/>
        </w:rPr>
      </w:pPr>
      <w:r w:rsidRPr="00232375">
        <w:rPr>
          <w:rFonts w:ascii="Arial" w:hAnsi="Arial" w:cs="Arial"/>
          <w:noProof/>
          <w:sz w:val="20"/>
          <w:szCs w:val="20"/>
        </w:rPr>
        <w:drawing>
          <wp:inline distT="0" distB="0" distL="0" distR="0" wp14:anchorId="50F15051" wp14:editId="5CD00F34">
            <wp:extent cx="5760720" cy="3064510"/>
            <wp:effectExtent l="0" t="0" r="0" b="2540"/>
            <wp:docPr id="17799448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379A40B6" w14:textId="57AA5E65" w:rsidR="00D97F0A" w:rsidRDefault="008D170E" w:rsidP="00D97F0A">
      <w:pPr>
        <w:spacing w:after="120" w:line="360" w:lineRule="auto"/>
        <w:jc w:val="center"/>
        <w:rPr>
          <w:rFonts w:ascii="Arial" w:hAnsi="Arial" w:cs="Arial"/>
        </w:rPr>
      </w:pPr>
      <w:r w:rsidRPr="000447DC">
        <w:rPr>
          <w:rFonts w:ascii="Arial" w:hAnsi="Arial" w:cs="Arial"/>
          <w:i/>
          <w:sz w:val="20"/>
          <w:szCs w:val="20"/>
        </w:rPr>
        <w:t>Source : Insee</w:t>
      </w:r>
      <w:r>
        <w:rPr>
          <w:rFonts w:ascii="Arial" w:hAnsi="Arial" w:cs="Arial"/>
          <w:i/>
          <w:sz w:val="20"/>
          <w:szCs w:val="20"/>
        </w:rPr>
        <w:t> ;</w:t>
      </w:r>
      <w:r w:rsidRPr="000447DC">
        <w:rPr>
          <w:rFonts w:ascii="Arial" w:hAnsi="Arial" w:cs="Arial"/>
          <w:i/>
          <w:sz w:val="20"/>
          <w:szCs w:val="20"/>
        </w:rPr>
        <w:t xml:space="preserve"> Banque de </w:t>
      </w:r>
      <w:r w:rsidR="00D97F0A">
        <w:rPr>
          <w:rFonts w:ascii="Arial" w:hAnsi="Arial" w:cs="Arial"/>
          <w:i/>
          <w:sz w:val="20"/>
          <w:szCs w:val="20"/>
        </w:rPr>
        <w:t>France</w:t>
      </w:r>
    </w:p>
    <w:p w14:paraId="0B2A8D02" w14:textId="15E3CA65" w:rsidR="00A834A2" w:rsidRPr="003A74CE" w:rsidRDefault="00A834A2" w:rsidP="00A869CD">
      <w:pPr>
        <w:spacing w:before="360" w:after="120" w:line="360" w:lineRule="auto"/>
        <w:rPr>
          <w:rFonts w:ascii="Arial" w:hAnsi="Arial" w:cs="Arial"/>
          <w:u w:val="single"/>
        </w:rPr>
      </w:pPr>
      <w:r w:rsidRPr="003A74CE">
        <w:rPr>
          <w:rFonts w:ascii="Arial" w:hAnsi="Arial" w:cs="Arial"/>
          <w:u w:val="single"/>
        </w:rPr>
        <w:t>3.3 La situation financière des entreprises</w:t>
      </w:r>
    </w:p>
    <w:p w14:paraId="119B4ED1" w14:textId="593B3637" w:rsidR="000932E3" w:rsidRDefault="00351805" w:rsidP="000932E3">
      <w:pPr>
        <w:spacing w:after="120" w:line="360" w:lineRule="auto"/>
        <w:jc w:val="both"/>
        <w:rPr>
          <w:rFonts w:ascii="Arial" w:hAnsi="Arial" w:cs="Arial"/>
        </w:rPr>
      </w:pPr>
      <w:r w:rsidRPr="00801114">
        <w:rPr>
          <w:rFonts w:ascii="Arial" w:hAnsi="Arial" w:cs="Arial"/>
        </w:rPr>
        <w:t>S</w:t>
      </w:r>
      <w:r w:rsidR="00CD60C0" w:rsidRPr="00801114">
        <w:rPr>
          <w:rFonts w:ascii="Arial" w:hAnsi="Arial" w:cs="Arial"/>
        </w:rPr>
        <w:t xml:space="preserve">ur le </w:t>
      </w:r>
      <w:r w:rsidR="000371AB" w:rsidRPr="00801114">
        <w:rPr>
          <w:rFonts w:ascii="Arial" w:hAnsi="Arial" w:cs="Arial"/>
        </w:rPr>
        <w:t>quatrième</w:t>
      </w:r>
      <w:r w:rsidR="00CD60C0" w:rsidRPr="00801114">
        <w:rPr>
          <w:rFonts w:ascii="Arial" w:hAnsi="Arial" w:cs="Arial"/>
        </w:rPr>
        <w:t xml:space="preserve"> trimestre 2023, </w:t>
      </w:r>
      <w:r w:rsidR="00844C5D">
        <w:rPr>
          <w:rFonts w:ascii="Arial" w:hAnsi="Arial" w:cs="Arial"/>
        </w:rPr>
        <w:t xml:space="preserve">après l’envolée du milieu d’année, </w:t>
      </w:r>
      <w:r w:rsidR="000371AB" w:rsidRPr="00801114">
        <w:rPr>
          <w:rFonts w:ascii="Arial" w:hAnsi="Arial" w:cs="Arial"/>
        </w:rPr>
        <w:t xml:space="preserve">les délais de paiement client se réduisent </w:t>
      </w:r>
      <w:r w:rsidR="00801114" w:rsidRPr="00801114">
        <w:rPr>
          <w:rFonts w:ascii="Arial" w:hAnsi="Arial" w:cs="Arial"/>
        </w:rPr>
        <w:t>selon</w:t>
      </w:r>
      <w:r w:rsidR="000371AB" w:rsidRPr="00801114">
        <w:rPr>
          <w:rFonts w:ascii="Arial" w:hAnsi="Arial" w:cs="Arial"/>
        </w:rPr>
        <w:t xml:space="preserve"> les entreprises de plus de dix salariés, tant pour leur clientèle privée que publique (cf. graphique 2</w:t>
      </w:r>
      <w:r w:rsidR="00E67FD8">
        <w:rPr>
          <w:rFonts w:ascii="Arial" w:hAnsi="Arial" w:cs="Arial"/>
        </w:rPr>
        <w:t>0</w:t>
      </w:r>
      <w:r w:rsidR="000371AB" w:rsidRPr="00801114">
        <w:rPr>
          <w:rFonts w:ascii="Arial" w:hAnsi="Arial" w:cs="Arial"/>
        </w:rPr>
        <w:t>)</w:t>
      </w:r>
      <w:r w:rsidR="00CD60C0" w:rsidRPr="00801114">
        <w:rPr>
          <w:rFonts w:ascii="Arial" w:hAnsi="Arial" w:cs="Arial"/>
        </w:rPr>
        <w:t>.</w:t>
      </w:r>
    </w:p>
    <w:p w14:paraId="052E0F01" w14:textId="35347223" w:rsidR="00CD60C0" w:rsidRPr="000965EA" w:rsidRDefault="00CD60C0" w:rsidP="000932E3">
      <w:pPr>
        <w:spacing w:after="60" w:line="360" w:lineRule="auto"/>
        <w:jc w:val="center"/>
        <w:rPr>
          <w:rFonts w:ascii="Arial" w:hAnsi="Arial" w:cs="Arial"/>
          <w:b/>
        </w:rPr>
      </w:pPr>
      <w:r w:rsidRPr="002F1C8C">
        <w:rPr>
          <w:rFonts w:ascii="Arial" w:hAnsi="Arial" w:cs="Arial"/>
        </w:rPr>
        <w:t>Graphique</w:t>
      </w:r>
      <w:r>
        <w:rPr>
          <w:rFonts w:ascii="Arial" w:hAnsi="Arial" w:cs="Arial"/>
        </w:rPr>
        <w:t xml:space="preserve"> 2</w:t>
      </w:r>
      <w:r w:rsidR="00E67FD8">
        <w:rPr>
          <w:rFonts w:ascii="Arial" w:hAnsi="Arial" w:cs="Arial"/>
        </w:rPr>
        <w:t>0</w:t>
      </w:r>
      <w:r w:rsidRPr="002F1C8C">
        <w:rPr>
          <w:rFonts w:ascii="Arial" w:hAnsi="Arial" w:cs="Arial"/>
        </w:rPr>
        <w:t xml:space="preserve"> – </w:t>
      </w:r>
      <w:r w:rsidRPr="002F1C8C">
        <w:rPr>
          <w:rFonts w:ascii="Arial" w:hAnsi="Arial" w:cs="Arial"/>
          <w:b/>
        </w:rPr>
        <w:t xml:space="preserve">Opinions des chefs d’entreprise </w:t>
      </w:r>
      <w:r w:rsidR="0019578B">
        <w:rPr>
          <w:rFonts w:ascii="Arial" w:hAnsi="Arial" w:cs="Arial"/>
          <w:b/>
        </w:rPr>
        <w:t xml:space="preserve">de plus de dix salariés </w:t>
      </w:r>
      <w:r w:rsidRPr="002F1C8C">
        <w:rPr>
          <w:rFonts w:ascii="Arial" w:hAnsi="Arial" w:cs="Arial"/>
          <w:b/>
        </w:rPr>
        <w:t xml:space="preserve">sur </w:t>
      </w:r>
      <w:r>
        <w:rPr>
          <w:rFonts w:ascii="Arial" w:hAnsi="Arial" w:cs="Arial"/>
          <w:b/>
        </w:rPr>
        <w:t>les délais de paiement des clients</w:t>
      </w:r>
      <w:r w:rsidRPr="002F1C8C">
        <w:rPr>
          <w:rFonts w:ascii="Arial" w:hAnsi="Arial" w:cs="Arial"/>
          <w:b/>
        </w:rPr>
        <w:t xml:space="preserve"> dans le bâtiment</w:t>
      </w:r>
    </w:p>
    <w:p w14:paraId="18B837E3" w14:textId="2C832F3F" w:rsidR="00CD60C0" w:rsidRPr="008E69BA" w:rsidRDefault="00C65506" w:rsidP="00675802">
      <w:pPr>
        <w:spacing w:after="120" w:line="360" w:lineRule="auto"/>
        <w:jc w:val="center"/>
        <w:rPr>
          <w:rFonts w:ascii="Arial" w:hAnsi="Arial" w:cs="Arial"/>
          <w:i/>
          <w:sz w:val="20"/>
          <w:szCs w:val="20"/>
        </w:rPr>
      </w:pPr>
      <w:r w:rsidRPr="00C65506">
        <w:rPr>
          <w:rFonts w:ascii="Arial" w:hAnsi="Arial" w:cs="Arial"/>
          <w:i/>
          <w:noProof/>
          <w:sz w:val="20"/>
          <w:szCs w:val="20"/>
        </w:rPr>
        <w:drawing>
          <wp:inline distT="0" distB="0" distL="0" distR="0" wp14:anchorId="1514A930" wp14:editId="57A5EEF8">
            <wp:extent cx="5760720" cy="3054985"/>
            <wp:effectExtent l="0" t="0" r="0" b="0"/>
            <wp:docPr id="145936112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3054985"/>
                    </a:xfrm>
                    <a:prstGeom prst="rect">
                      <a:avLst/>
                    </a:prstGeom>
                    <a:noFill/>
                    <a:ln>
                      <a:noFill/>
                    </a:ln>
                  </pic:spPr>
                </pic:pic>
              </a:graphicData>
            </a:graphic>
          </wp:inline>
        </w:drawing>
      </w:r>
      <w:r w:rsidR="00CD60C0" w:rsidRPr="008E69BA">
        <w:rPr>
          <w:rFonts w:ascii="Arial" w:hAnsi="Arial" w:cs="Arial"/>
          <w:i/>
          <w:sz w:val="20"/>
          <w:szCs w:val="20"/>
        </w:rPr>
        <w:t xml:space="preserve">Source : </w:t>
      </w:r>
      <w:r w:rsidR="00CD60C0">
        <w:rPr>
          <w:rFonts w:ascii="Arial" w:hAnsi="Arial" w:cs="Arial"/>
          <w:i/>
          <w:sz w:val="20"/>
          <w:szCs w:val="20"/>
        </w:rPr>
        <w:t xml:space="preserve">calculs FFB d’après </w:t>
      </w:r>
      <w:r w:rsidR="00CD60C0" w:rsidRPr="008E69BA">
        <w:rPr>
          <w:rFonts w:ascii="Arial" w:hAnsi="Arial" w:cs="Arial"/>
          <w:i/>
          <w:sz w:val="20"/>
          <w:szCs w:val="20"/>
        </w:rPr>
        <w:t>Insee</w:t>
      </w:r>
    </w:p>
    <w:p w14:paraId="76BB2775" w14:textId="1D44E1F4" w:rsidR="00A50855" w:rsidRPr="009E1A6C" w:rsidRDefault="00C75EDC" w:rsidP="00A50855">
      <w:pPr>
        <w:spacing w:after="120" w:line="360" w:lineRule="auto"/>
        <w:jc w:val="both"/>
        <w:rPr>
          <w:rFonts w:ascii="Arial" w:hAnsi="Arial" w:cs="Arial"/>
        </w:rPr>
      </w:pPr>
      <w:r>
        <w:rPr>
          <w:rFonts w:ascii="Arial" w:hAnsi="Arial" w:cs="Arial"/>
        </w:rPr>
        <w:lastRenderedPageBreak/>
        <w:t>T</w:t>
      </w:r>
      <w:r w:rsidR="000371AB" w:rsidRPr="00801114">
        <w:rPr>
          <w:rFonts w:ascii="Arial" w:hAnsi="Arial" w:cs="Arial"/>
        </w:rPr>
        <w:t xml:space="preserve">oujours sur le quatrième trimestre 2023, les trésoreries des structures de plus de dix salariés s’améliorent </w:t>
      </w:r>
      <w:r w:rsidR="00844C5D">
        <w:rPr>
          <w:rFonts w:ascii="Arial" w:hAnsi="Arial" w:cs="Arial"/>
        </w:rPr>
        <w:t xml:space="preserve">très </w:t>
      </w:r>
      <w:r w:rsidR="000371AB" w:rsidRPr="00801114">
        <w:rPr>
          <w:rFonts w:ascii="Arial" w:hAnsi="Arial" w:cs="Arial"/>
        </w:rPr>
        <w:t xml:space="preserve">légèrement pour s’afficher un peu au-dessus de leur moyenne de longue période (cf. graphique </w:t>
      </w:r>
      <w:r w:rsidR="00322A0B" w:rsidRPr="00801114">
        <w:rPr>
          <w:rFonts w:ascii="Arial" w:hAnsi="Arial" w:cs="Arial"/>
        </w:rPr>
        <w:t>2</w:t>
      </w:r>
      <w:r w:rsidR="00E67FD8">
        <w:rPr>
          <w:rFonts w:ascii="Arial" w:hAnsi="Arial" w:cs="Arial"/>
        </w:rPr>
        <w:t>1</w:t>
      </w:r>
      <w:r w:rsidR="000371AB" w:rsidRPr="00801114">
        <w:rPr>
          <w:rFonts w:ascii="Arial" w:hAnsi="Arial" w:cs="Arial"/>
        </w:rPr>
        <w:t>)</w:t>
      </w:r>
      <w:r w:rsidR="00A50855" w:rsidRPr="00801114">
        <w:rPr>
          <w:rFonts w:ascii="Arial" w:hAnsi="Arial" w:cs="Arial"/>
        </w:rPr>
        <w:t>.</w:t>
      </w:r>
    </w:p>
    <w:p w14:paraId="04E5B5A9" w14:textId="286218BA" w:rsidR="00A50855" w:rsidRPr="000965EA" w:rsidRDefault="00A50855" w:rsidP="00A50855">
      <w:pPr>
        <w:spacing w:after="0" w:line="360" w:lineRule="auto"/>
        <w:jc w:val="center"/>
        <w:rPr>
          <w:rFonts w:ascii="Arial" w:hAnsi="Arial" w:cs="Arial"/>
          <w:b/>
        </w:rPr>
      </w:pPr>
      <w:r w:rsidRPr="002F1C8C">
        <w:rPr>
          <w:rFonts w:ascii="Arial" w:hAnsi="Arial" w:cs="Arial"/>
        </w:rPr>
        <w:t>Graphique</w:t>
      </w:r>
      <w:r>
        <w:rPr>
          <w:rFonts w:ascii="Arial" w:hAnsi="Arial" w:cs="Arial"/>
        </w:rPr>
        <w:t xml:space="preserve"> 2</w:t>
      </w:r>
      <w:r w:rsidR="00E67FD8">
        <w:rPr>
          <w:rFonts w:ascii="Arial" w:hAnsi="Arial" w:cs="Arial"/>
        </w:rPr>
        <w:t>1</w:t>
      </w:r>
      <w:r w:rsidRPr="002F1C8C">
        <w:rPr>
          <w:rFonts w:ascii="Arial" w:hAnsi="Arial" w:cs="Arial"/>
        </w:rPr>
        <w:t xml:space="preserve"> – </w:t>
      </w:r>
      <w:r w:rsidRPr="002F1C8C">
        <w:rPr>
          <w:rFonts w:ascii="Arial" w:hAnsi="Arial" w:cs="Arial"/>
          <w:b/>
        </w:rPr>
        <w:t>Opinions des chefs d’entreprise</w:t>
      </w:r>
      <w:r w:rsidR="0019578B">
        <w:rPr>
          <w:rFonts w:ascii="Arial" w:hAnsi="Arial" w:cs="Arial"/>
          <w:b/>
        </w:rPr>
        <w:t xml:space="preserve"> de plus de dix salariés </w:t>
      </w:r>
      <w:r w:rsidRPr="002F1C8C">
        <w:rPr>
          <w:rFonts w:ascii="Arial" w:hAnsi="Arial" w:cs="Arial"/>
          <w:b/>
        </w:rPr>
        <w:t>sur la trésorerie dans le bâtiment</w:t>
      </w:r>
    </w:p>
    <w:p w14:paraId="7B76B523" w14:textId="38C7DCB0" w:rsidR="00A50855" w:rsidRDefault="00C65506" w:rsidP="00675802">
      <w:pPr>
        <w:spacing w:after="60" w:line="240" w:lineRule="auto"/>
        <w:jc w:val="center"/>
        <w:rPr>
          <w:rFonts w:ascii="Arial" w:hAnsi="Arial" w:cs="Arial"/>
          <w:noProof/>
          <w:lang w:eastAsia="fr-FR"/>
        </w:rPr>
      </w:pPr>
      <w:r w:rsidRPr="00C65506">
        <w:rPr>
          <w:rFonts w:ascii="Arial" w:hAnsi="Arial" w:cs="Arial"/>
          <w:noProof/>
          <w:lang w:eastAsia="fr-FR"/>
        </w:rPr>
        <w:drawing>
          <wp:inline distT="0" distB="0" distL="0" distR="0" wp14:anchorId="19F83751" wp14:editId="57276CC9">
            <wp:extent cx="5760720" cy="3064510"/>
            <wp:effectExtent l="0" t="0" r="0" b="2540"/>
            <wp:docPr id="36975062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140FE805" w14:textId="77777777" w:rsidR="00A50855" w:rsidRPr="008E69BA" w:rsidRDefault="00A50855" w:rsidP="00A50855">
      <w:pPr>
        <w:spacing w:before="60" w:after="120" w:line="360" w:lineRule="auto"/>
        <w:jc w:val="center"/>
        <w:rPr>
          <w:rFonts w:ascii="Arial" w:hAnsi="Arial" w:cs="Arial"/>
          <w:i/>
          <w:sz w:val="20"/>
          <w:szCs w:val="20"/>
        </w:rPr>
      </w:pPr>
      <w:r w:rsidRPr="008E69BA">
        <w:rPr>
          <w:rFonts w:ascii="Arial" w:hAnsi="Arial" w:cs="Arial"/>
          <w:i/>
          <w:sz w:val="20"/>
          <w:szCs w:val="20"/>
        </w:rPr>
        <w:t xml:space="preserve">Source : </w:t>
      </w:r>
      <w:r>
        <w:rPr>
          <w:rFonts w:ascii="Arial" w:hAnsi="Arial" w:cs="Arial"/>
          <w:i/>
          <w:sz w:val="20"/>
          <w:szCs w:val="20"/>
        </w:rPr>
        <w:t xml:space="preserve">calculs FFB d’après </w:t>
      </w:r>
      <w:r w:rsidRPr="008E69BA">
        <w:rPr>
          <w:rFonts w:ascii="Arial" w:hAnsi="Arial" w:cs="Arial"/>
          <w:i/>
          <w:sz w:val="20"/>
          <w:szCs w:val="20"/>
        </w:rPr>
        <w:t>Insee</w:t>
      </w:r>
    </w:p>
    <w:p w14:paraId="3AF4C9EC" w14:textId="30AAFB3C" w:rsidR="00C75EDC" w:rsidRPr="00854281" w:rsidRDefault="00C75EDC" w:rsidP="00C75EDC">
      <w:pPr>
        <w:pStyle w:val="Sansinterligne"/>
        <w:spacing w:after="60" w:line="360" w:lineRule="auto"/>
        <w:jc w:val="both"/>
        <w:rPr>
          <w:rFonts w:ascii="Arial" w:hAnsi="Arial" w:cs="Arial"/>
        </w:rPr>
      </w:pPr>
      <w:r w:rsidRPr="00844C5D">
        <w:rPr>
          <w:rFonts w:ascii="Arial" w:hAnsi="Arial" w:cs="Arial"/>
        </w:rPr>
        <w:t xml:space="preserve">En outre, on relève une quasi-stabilisation du taux de marge opérationnelle (corrigé de la rémunération du travail des chefs d’entreprise </w:t>
      </w:r>
      <w:proofErr w:type="spellStart"/>
      <w:r w:rsidRPr="00844C5D">
        <w:rPr>
          <w:rFonts w:ascii="Arial" w:hAnsi="Arial" w:cs="Arial"/>
        </w:rPr>
        <w:t>non salariés</w:t>
      </w:r>
      <w:proofErr w:type="spellEnd"/>
      <w:r w:rsidRPr="00844C5D">
        <w:rPr>
          <w:rFonts w:ascii="Arial" w:hAnsi="Arial" w:cs="Arial"/>
        </w:rPr>
        <w:t xml:space="preserve">) dans la construction </w:t>
      </w:r>
      <w:r w:rsidR="003804A5" w:rsidRPr="00844C5D">
        <w:rPr>
          <w:rFonts w:ascii="Arial" w:hAnsi="Arial" w:cs="Arial"/>
        </w:rPr>
        <w:t>sur l’ensemble de l’année 2023</w:t>
      </w:r>
      <w:r w:rsidRPr="00844C5D">
        <w:rPr>
          <w:rFonts w:ascii="Arial" w:hAnsi="Arial" w:cs="Arial"/>
        </w:rPr>
        <w:t>, aux environs de 22</w:t>
      </w:r>
      <w:r w:rsidR="003804A5" w:rsidRPr="00844C5D">
        <w:rPr>
          <w:rFonts w:ascii="Arial" w:hAnsi="Arial" w:cs="Arial"/>
        </w:rPr>
        <w:t>,5</w:t>
      </w:r>
      <w:r w:rsidRPr="00844C5D">
        <w:rPr>
          <w:rFonts w:ascii="Arial" w:hAnsi="Arial" w:cs="Arial"/>
        </w:rPr>
        <w:t> %</w:t>
      </w:r>
      <w:r w:rsidR="00844C5D">
        <w:rPr>
          <w:rFonts w:ascii="Arial" w:hAnsi="Arial" w:cs="Arial"/>
        </w:rPr>
        <w:t>, soit sensiblement en-deçà de leur niveau d’avant crise sanitaire</w:t>
      </w:r>
      <w:r w:rsidRPr="00844C5D">
        <w:rPr>
          <w:rFonts w:ascii="Arial" w:hAnsi="Arial" w:cs="Arial"/>
        </w:rPr>
        <w:t xml:space="preserve"> (</w:t>
      </w:r>
      <w:r w:rsidR="00844C5D">
        <w:rPr>
          <w:rFonts w:ascii="Arial" w:hAnsi="Arial" w:cs="Arial"/>
        </w:rPr>
        <w:t>26,7 % au quatrième trimestre 20</w:t>
      </w:r>
      <w:r w:rsidR="007A134C">
        <w:rPr>
          <w:rFonts w:ascii="Arial" w:hAnsi="Arial" w:cs="Arial"/>
        </w:rPr>
        <w:t>19</w:t>
      </w:r>
      <w:r w:rsidR="00844C5D">
        <w:rPr>
          <w:rFonts w:ascii="Arial" w:hAnsi="Arial" w:cs="Arial"/>
        </w:rPr>
        <w:t xml:space="preserve">, </w:t>
      </w:r>
      <w:r w:rsidRPr="00844C5D">
        <w:rPr>
          <w:rFonts w:ascii="Arial" w:hAnsi="Arial" w:cs="Arial"/>
        </w:rPr>
        <w:t>cf. graphique 2</w:t>
      </w:r>
      <w:r w:rsidR="00E67FD8" w:rsidRPr="00844C5D">
        <w:rPr>
          <w:rFonts w:ascii="Arial" w:hAnsi="Arial" w:cs="Arial"/>
        </w:rPr>
        <w:t>2</w:t>
      </w:r>
      <w:r w:rsidRPr="00844C5D">
        <w:rPr>
          <w:rFonts w:ascii="Arial" w:hAnsi="Arial" w:cs="Arial"/>
        </w:rPr>
        <w:t>).</w:t>
      </w:r>
    </w:p>
    <w:p w14:paraId="42A3DCD7" w14:textId="77777777" w:rsidR="000932E3" w:rsidRDefault="000932E3">
      <w:pPr>
        <w:rPr>
          <w:rFonts w:ascii="Arial" w:hAnsi="Arial" w:cs="Arial"/>
        </w:rPr>
      </w:pPr>
      <w:r>
        <w:rPr>
          <w:rFonts w:ascii="Arial" w:hAnsi="Arial" w:cs="Arial"/>
        </w:rPr>
        <w:br w:type="page"/>
      </w:r>
    </w:p>
    <w:p w14:paraId="5BF32A11" w14:textId="6C332FDE" w:rsidR="00C75EDC" w:rsidRDefault="00C75EDC" w:rsidP="00C75EDC">
      <w:pPr>
        <w:spacing w:after="0" w:line="312" w:lineRule="auto"/>
        <w:jc w:val="center"/>
        <w:rPr>
          <w:rFonts w:ascii="Arial" w:hAnsi="Arial" w:cs="Arial"/>
          <w:b/>
        </w:rPr>
      </w:pPr>
      <w:r w:rsidRPr="005C5343">
        <w:rPr>
          <w:rFonts w:ascii="Arial" w:hAnsi="Arial" w:cs="Arial"/>
        </w:rPr>
        <w:lastRenderedPageBreak/>
        <w:t xml:space="preserve">Graphique </w:t>
      </w:r>
      <w:r>
        <w:rPr>
          <w:rFonts w:ascii="Arial" w:hAnsi="Arial" w:cs="Arial"/>
        </w:rPr>
        <w:t>2</w:t>
      </w:r>
      <w:r w:rsidR="00E67FD8">
        <w:rPr>
          <w:rFonts w:ascii="Arial" w:hAnsi="Arial" w:cs="Arial"/>
        </w:rPr>
        <w:t>2</w:t>
      </w:r>
      <w:r w:rsidRPr="005C5343">
        <w:rPr>
          <w:rFonts w:ascii="Arial" w:hAnsi="Arial" w:cs="Arial"/>
        </w:rPr>
        <w:t xml:space="preserve"> – </w:t>
      </w:r>
      <w:r w:rsidRPr="005C5343">
        <w:rPr>
          <w:rFonts w:ascii="Arial" w:hAnsi="Arial" w:cs="Arial"/>
          <w:b/>
        </w:rPr>
        <w:t xml:space="preserve">Taux de marge opérationnelle corrigé de la rémunération des chefs d’entreprise </w:t>
      </w:r>
      <w:proofErr w:type="spellStart"/>
      <w:r w:rsidRPr="005C5343">
        <w:rPr>
          <w:rFonts w:ascii="Arial" w:hAnsi="Arial" w:cs="Arial"/>
          <w:b/>
        </w:rPr>
        <w:t>non salariés</w:t>
      </w:r>
      <w:proofErr w:type="spellEnd"/>
    </w:p>
    <w:p w14:paraId="1AA1A505" w14:textId="36745116" w:rsidR="00C75EDC" w:rsidRDefault="003103DA" w:rsidP="00C75EDC">
      <w:pPr>
        <w:spacing w:after="60" w:line="240" w:lineRule="auto"/>
        <w:jc w:val="center"/>
        <w:rPr>
          <w:rFonts w:ascii="Arial" w:hAnsi="Arial" w:cs="Arial"/>
        </w:rPr>
      </w:pPr>
      <w:r w:rsidRPr="003103DA">
        <w:rPr>
          <w:rFonts w:ascii="Arial" w:hAnsi="Arial" w:cs="Arial"/>
          <w:noProof/>
        </w:rPr>
        <w:drawing>
          <wp:inline distT="0" distB="0" distL="0" distR="0" wp14:anchorId="1F8466D9" wp14:editId="759B092B">
            <wp:extent cx="5760720" cy="3064510"/>
            <wp:effectExtent l="0" t="0" r="0" b="2540"/>
            <wp:docPr id="123325949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064510"/>
                    </a:xfrm>
                    <a:prstGeom prst="rect">
                      <a:avLst/>
                    </a:prstGeom>
                    <a:noFill/>
                    <a:ln>
                      <a:noFill/>
                    </a:ln>
                  </pic:spPr>
                </pic:pic>
              </a:graphicData>
            </a:graphic>
          </wp:inline>
        </w:drawing>
      </w:r>
    </w:p>
    <w:p w14:paraId="4644784C" w14:textId="77777777" w:rsidR="00C75EDC" w:rsidRDefault="00C75EDC" w:rsidP="00C75EDC">
      <w:pPr>
        <w:spacing w:after="120" w:line="360" w:lineRule="auto"/>
        <w:jc w:val="center"/>
        <w:rPr>
          <w:rFonts w:ascii="Arial" w:hAnsi="Arial" w:cs="Arial"/>
        </w:rPr>
      </w:pPr>
      <w:r>
        <w:rPr>
          <w:rFonts w:ascii="Arial" w:hAnsi="Arial" w:cs="Arial"/>
          <w:i/>
          <w:sz w:val="20"/>
          <w:szCs w:val="20"/>
        </w:rPr>
        <w:t xml:space="preserve">Source : calculs FFB d’après </w:t>
      </w:r>
      <w:r w:rsidRPr="006D33CA">
        <w:rPr>
          <w:rFonts w:ascii="Arial" w:hAnsi="Arial" w:cs="Arial"/>
          <w:i/>
          <w:sz w:val="20"/>
          <w:szCs w:val="20"/>
        </w:rPr>
        <w:t>Insee</w:t>
      </w:r>
    </w:p>
    <w:p w14:paraId="49FD83C7" w14:textId="09A0D3FB" w:rsidR="00E81A17" w:rsidRPr="00545E22" w:rsidRDefault="000371AB" w:rsidP="008A3337">
      <w:pPr>
        <w:pStyle w:val="Sansinterligne"/>
        <w:spacing w:after="120" w:line="360" w:lineRule="auto"/>
        <w:jc w:val="both"/>
        <w:rPr>
          <w:rFonts w:ascii="Arial" w:hAnsi="Arial" w:cs="Arial"/>
        </w:rPr>
      </w:pPr>
      <w:r w:rsidRPr="00545E22">
        <w:rPr>
          <w:rFonts w:ascii="Arial" w:hAnsi="Arial" w:cs="Arial"/>
        </w:rPr>
        <w:t>Par ailleurs</w:t>
      </w:r>
      <w:r w:rsidR="00775549" w:rsidRPr="00545E22">
        <w:rPr>
          <w:rFonts w:ascii="Arial" w:hAnsi="Arial" w:cs="Arial"/>
        </w:rPr>
        <w:t>, depuis le début du printemps 2023</w:t>
      </w:r>
      <w:r w:rsidR="000D6706" w:rsidRPr="00545E22">
        <w:rPr>
          <w:rFonts w:ascii="Arial" w:hAnsi="Arial" w:cs="Arial"/>
        </w:rPr>
        <w:t xml:space="preserve">, </w:t>
      </w:r>
      <w:r w:rsidR="00431675" w:rsidRPr="00545E22">
        <w:rPr>
          <w:rFonts w:ascii="Arial" w:hAnsi="Arial" w:cs="Arial"/>
        </w:rPr>
        <w:t xml:space="preserve">on constate une </w:t>
      </w:r>
      <w:r w:rsidR="00801114" w:rsidRPr="00545E22">
        <w:rPr>
          <w:rFonts w:ascii="Arial" w:hAnsi="Arial" w:cs="Arial"/>
        </w:rPr>
        <w:t xml:space="preserve">tendance à la </w:t>
      </w:r>
      <w:r w:rsidR="00B36CA2" w:rsidRPr="00545E22">
        <w:rPr>
          <w:rFonts w:ascii="Arial" w:hAnsi="Arial" w:cs="Arial"/>
        </w:rPr>
        <w:t>baisse</w:t>
      </w:r>
      <w:r w:rsidR="00431675" w:rsidRPr="00545E22">
        <w:rPr>
          <w:rFonts w:ascii="Arial" w:hAnsi="Arial" w:cs="Arial"/>
        </w:rPr>
        <w:t xml:space="preserve"> </w:t>
      </w:r>
      <w:r w:rsidR="00801114" w:rsidRPr="00545E22">
        <w:rPr>
          <w:rFonts w:ascii="Arial" w:hAnsi="Arial" w:cs="Arial"/>
        </w:rPr>
        <w:t>globale d</w:t>
      </w:r>
      <w:r w:rsidR="00035A9F" w:rsidRPr="00545E22">
        <w:rPr>
          <w:rFonts w:ascii="Arial" w:hAnsi="Arial" w:cs="Arial"/>
        </w:rPr>
        <w:t xml:space="preserve">es </w:t>
      </w:r>
      <w:r w:rsidR="005903B2" w:rsidRPr="00545E22">
        <w:rPr>
          <w:rFonts w:ascii="Arial" w:hAnsi="Arial" w:cs="Arial"/>
        </w:rPr>
        <w:t>prix d</w:t>
      </w:r>
      <w:r w:rsidR="00035A9F" w:rsidRPr="00545E22">
        <w:rPr>
          <w:rFonts w:ascii="Arial" w:hAnsi="Arial" w:cs="Arial"/>
        </w:rPr>
        <w:t xml:space="preserve">es </w:t>
      </w:r>
      <w:r w:rsidR="00431675" w:rsidRPr="00545E22">
        <w:rPr>
          <w:rFonts w:ascii="Arial" w:hAnsi="Arial" w:cs="Arial"/>
        </w:rPr>
        <w:t>matériaux</w:t>
      </w:r>
      <w:r w:rsidR="00B462CB" w:rsidRPr="00545E22">
        <w:rPr>
          <w:rFonts w:ascii="Arial" w:hAnsi="Arial" w:cs="Arial"/>
        </w:rPr>
        <w:t xml:space="preserve"> utilisés dans la construction</w:t>
      </w:r>
      <w:r w:rsidR="00035A9F" w:rsidRPr="00545E22">
        <w:rPr>
          <w:rFonts w:ascii="Arial" w:hAnsi="Arial" w:cs="Arial"/>
        </w:rPr>
        <w:t xml:space="preserve"> (PVC, aciers</w:t>
      </w:r>
      <w:r w:rsidR="00987884" w:rsidRPr="00545E22">
        <w:rPr>
          <w:rFonts w:ascii="Arial" w:hAnsi="Arial" w:cs="Arial"/>
        </w:rPr>
        <w:t xml:space="preserve"> pour la construction</w:t>
      </w:r>
      <w:r w:rsidR="00035A9F" w:rsidRPr="00545E22">
        <w:rPr>
          <w:rFonts w:ascii="Arial" w:hAnsi="Arial" w:cs="Arial"/>
        </w:rPr>
        <w:t xml:space="preserve">, plastiques alvéolaires, demi-produits en aluminium, </w:t>
      </w:r>
      <w:r w:rsidR="008E446C" w:rsidRPr="00545E22">
        <w:rPr>
          <w:rFonts w:ascii="Arial" w:hAnsi="Arial" w:cs="Arial"/>
        </w:rPr>
        <w:t>verre</w:t>
      </w:r>
      <w:r w:rsidR="00AA13D5" w:rsidRPr="00545E22">
        <w:rPr>
          <w:rFonts w:ascii="Arial" w:hAnsi="Arial" w:cs="Arial"/>
        </w:rPr>
        <w:t>, demi-produits en cuivre ou alliage</w:t>
      </w:r>
      <w:r w:rsidR="00035A9F" w:rsidRPr="00545E22">
        <w:rPr>
          <w:rFonts w:ascii="Arial" w:hAnsi="Arial" w:cs="Arial"/>
        </w:rPr>
        <w:t xml:space="preserve">) ou une quasi-stabilisation pour </w:t>
      </w:r>
      <w:r w:rsidR="00987884" w:rsidRPr="00545E22">
        <w:rPr>
          <w:rFonts w:ascii="Arial" w:hAnsi="Arial" w:cs="Arial"/>
        </w:rPr>
        <w:t>le</w:t>
      </w:r>
      <w:r w:rsidR="007803E2" w:rsidRPr="00545E22">
        <w:rPr>
          <w:rFonts w:ascii="Arial" w:hAnsi="Arial" w:cs="Arial"/>
        </w:rPr>
        <w:t xml:space="preserve"> </w:t>
      </w:r>
      <w:r w:rsidR="00CA3F9F" w:rsidRPr="00545E22">
        <w:rPr>
          <w:rFonts w:ascii="Arial" w:hAnsi="Arial" w:cs="Arial"/>
        </w:rPr>
        <w:t>béton prêt à l’emploi</w:t>
      </w:r>
      <w:r w:rsidR="00BA7C55">
        <w:rPr>
          <w:rFonts w:ascii="Arial" w:hAnsi="Arial" w:cs="Arial"/>
        </w:rPr>
        <w:t xml:space="preserve"> et les tuiles</w:t>
      </w:r>
      <w:r w:rsidR="007803E2" w:rsidRPr="00545E22">
        <w:rPr>
          <w:rFonts w:ascii="Arial" w:hAnsi="Arial" w:cs="Arial"/>
        </w:rPr>
        <w:t xml:space="preserve"> (</w:t>
      </w:r>
      <w:r w:rsidR="00DF5A43" w:rsidRPr="00545E22">
        <w:rPr>
          <w:rFonts w:ascii="Arial" w:hAnsi="Arial" w:cs="Arial"/>
        </w:rPr>
        <w:t>cf. graphique 2</w:t>
      </w:r>
      <w:r w:rsidR="00E67FD8">
        <w:rPr>
          <w:rFonts w:ascii="Arial" w:hAnsi="Arial" w:cs="Arial"/>
        </w:rPr>
        <w:t>3</w:t>
      </w:r>
      <w:r w:rsidR="00DF5A43" w:rsidRPr="00545E22">
        <w:rPr>
          <w:rFonts w:ascii="Arial" w:hAnsi="Arial" w:cs="Arial"/>
        </w:rPr>
        <w:t>)</w:t>
      </w:r>
      <w:r w:rsidR="00B36CA2" w:rsidRPr="00545E22">
        <w:rPr>
          <w:rFonts w:ascii="Arial" w:hAnsi="Arial" w:cs="Arial"/>
        </w:rPr>
        <w:t>.</w:t>
      </w:r>
      <w:r w:rsidR="00205097" w:rsidRPr="00545E22">
        <w:rPr>
          <w:rFonts w:ascii="Arial" w:hAnsi="Arial" w:cs="Arial"/>
        </w:rPr>
        <w:t xml:space="preserve"> Cela laisse toutefois </w:t>
      </w:r>
      <w:r w:rsidR="00801114" w:rsidRPr="00545E22">
        <w:rPr>
          <w:rFonts w:ascii="Arial" w:hAnsi="Arial" w:cs="Arial"/>
        </w:rPr>
        <w:t xml:space="preserve">ces prix </w:t>
      </w:r>
      <w:r w:rsidR="00205097" w:rsidRPr="00545E22">
        <w:rPr>
          <w:rFonts w:ascii="Arial" w:hAnsi="Arial" w:cs="Arial"/>
        </w:rPr>
        <w:t>30</w:t>
      </w:r>
      <w:r w:rsidR="00CC7623" w:rsidRPr="00545E22">
        <w:rPr>
          <w:rFonts w:ascii="Arial" w:hAnsi="Arial" w:cs="Arial"/>
        </w:rPr>
        <w:t> %</w:t>
      </w:r>
      <w:r w:rsidR="00205097" w:rsidRPr="00545E22">
        <w:rPr>
          <w:rFonts w:ascii="Arial" w:hAnsi="Arial" w:cs="Arial"/>
        </w:rPr>
        <w:t xml:space="preserve"> à 40</w:t>
      </w:r>
      <w:r w:rsidR="00CC7623" w:rsidRPr="00545E22">
        <w:rPr>
          <w:rFonts w:ascii="Arial" w:hAnsi="Arial" w:cs="Arial"/>
        </w:rPr>
        <w:t> %</w:t>
      </w:r>
      <w:r w:rsidR="00205097" w:rsidRPr="00545E22">
        <w:rPr>
          <w:rFonts w:ascii="Arial" w:hAnsi="Arial" w:cs="Arial"/>
        </w:rPr>
        <w:t xml:space="preserve"> au-delà de leur niveau de 2019.</w:t>
      </w:r>
    </w:p>
    <w:p w14:paraId="04682FF4" w14:textId="0B318373" w:rsidR="00A95CE3" w:rsidRDefault="00A95CE3" w:rsidP="00D746D6">
      <w:pPr>
        <w:pStyle w:val="Sansinterligne"/>
        <w:spacing w:line="360" w:lineRule="auto"/>
        <w:jc w:val="center"/>
        <w:rPr>
          <w:rFonts w:ascii="Arial" w:hAnsi="Arial" w:cs="Arial"/>
          <w:noProof/>
          <w:lang w:eastAsia="fr-FR"/>
        </w:rPr>
      </w:pPr>
      <w:r>
        <w:rPr>
          <w:rFonts w:ascii="Arial" w:hAnsi="Arial" w:cs="Arial"/>
        </w:rPr>
        <w:t>Graphique 2</w:t>
      </w:r>
      <w:r w:rsidR="00E67FD8">
        <w:rPr>
          <w:rFonts w:ascii="Arial" w:hAnsi="Arial" w:cs="Arial"/>
        </w:rPr>
        <w:t>3</w:t>
      </w:r>
      <w:r>
        <w:rPr>
          <w:rFonts w:ascii="Arial" w:hAnsi="Arial" w:cs="Arial"/>
        </w:rPr>
        <w:t xml:space="preserve"> – </w:t>
      </w:r>
      <w:r w:rsidRPr="002533E0">
        <w:rPr>
          <w:rFonts w:ascii="Arial" w:hAnsi="Arial" w:cs="Arial"/>
          <w:b/>
          <w:color w:val="000000" w:themeColor="text1"/>
        </w:rPr>
        <w:t>Indice</w:t>
      </w:r>
      <w:r>
        <w:rPr>
          <w:rFonts w:ascii="Arial" w:hAnsi="Arial" w:cs="Arial"/>
          <w:b/>
          <w:color w:val="000000" w:themeColor="text1"/>
        </w:rPr>
        <w:t>s</w:t>
      </w:r>
      <w:r w:rsidRPr="002533E0">
        <w:rPr>
          <w:rFonts w:ascii="Arial" w:hAnsi="Arial" w:cs="Arial"/>
          <w:b/>
          <w:color w:val="000000" w:themeColor="text1"/>
        </w:rPr>
        <w:t xml:space="preserve"> de prix de production de quelques matériaux industriels</w:t>
      </w:r>
      <w:r w:rsidR="00D746D6" w:rsidRPr="00D746D6">
        <w:rPr>
          <w:rFonts w:ascii="Arial" w:hAnsi="Arial" w:cs="Arial"/>
          <w:noProof/>
          <w:lang w:eastAsia="fr-FR"/>
        </w:rPr>
        <w:t xml:space="preserve"> </w:t>
      </w:r>
      <w:r w:rsidR="00D746D6" w:rsidRPr="00D746D6">
        <w:rPr>
          <w:rFonts w:ascii="Arial" w:hAnsi="Arial" w:cs="Arial"/>
          <w:noProof/>
          <w:lang w:eastAsia="fr-FR"/>
        </w:rPr>
        <w:drawing>
          <wp:inline distT="0" distB="0" distL="0" distR="0" wp14:anchorId="7C27DFE2" wp14:editId="2035DAA5">
            <wp:extent cx="5760720" cy="2912110"/>
            <wp:effectExtent l="0" t="0" r="0" b="2540"/>
            <wp:docPr id="10936129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912110"/>
                    </a:xfrm>
                    <a:prstGeom prst="rect">
                      <a:avLst/>
                    </a:prstGeom>
                    <a:noFill/>
                    <a:ln>
                      <a:noFill/>
                    </a:ln>
                  </pic:spPr>
                </pic:pic>
              </a:graphicData>
            </a:graphic>
          </wp:inline>
        </w:drawing>
      </w:r>
    </w:p>
    <w:p w14:paraId="2C0448E2" w14:textId="77777777" w:rsidR="00A95CE3" w:rsidRPr="006D33CA" w:rsidRDefault="00A95CE3" w:rsidP="00A95CE3">
      <w:pPr>
        <w:pStyle w:val="Sansinterligne"/>
        <w:spacing w:after="120" w:line="360" w:lineRule="auto"/>
        <w:jc w:val="center"/>
        <w:rPr>
          <w:rFonts w:ascii="Arial" w:hAnsi="Arial" w:cs="Arial"/>
          <w:i/>
          <w:sz w:val="20"/>
          <w:szCs w:val="20"/>
        </w:rPr>
      </w:pPr>
      <w:r w:rsidRPr="006D33CA">
        <w:rPr>
          <w:rFonts w:ascii="Arial" w:hAnsi="Arial" w:cs="Arial"/>
          <w:i/>
          <w:sz w:val="20"/>
          <w:szCs w:val="20"/>
        </w:rPr>
        <w:t xml:space="preserve">Source : </w:t>
      </w:r>
      <w:r>
        <w:rPr>
          <w:rFonts w:ascii="Arial" w:hAnsi="Arial" w:cs="Arial"/>
          <w:i/>
          <w:sz w:val="20"/>
          <w:szCs w:val="20"/>
        </w:rPr>
        <w:t xml:space="preserve">calculs FFB d’après </w:t>
      </w:r>
      <w:r w:rsidRPr="006D33CA">
        <w:rPr>
          <w:rFonts w:ascii="Arial" w:hAnsi="Arial" w:cs="Arial"/>
          <w:i/>
          <w:sz w:val="20"/>
          <w:szCs w:val="20"/>
        </w:rPr>
        <w:t>Insee</w:t>
      </w:r>
    </w:p>
    <w:p w14:paraId="526BB5F0" w14:textId="39523A5C" w:rsidR="00B80265" w:rsidRPr="00E0273E" w:rsidRDefault="000B7313" w:rsidP="00B80265">
      <w:pPr>
        <w:spacing w:after="120" w:line="360" w:lineRule="auto"/>
        <w:jc w:val="both"/>
        <w:rPr>
          <w:rFonts w:ascii="Arial" w:hAnsi="Arial" w:cs="Arial"/>
        </w:rPr>
      </w:pPr>
      <w:r w:rsidRPr="00E0273E">
        <w:rPr>
          <w:rFonts w:ascii="Arial" w:hAnsi="Arial" w:cs="Arial"/>
        </w:rPr>
        <w:lastRenderedPageBreak/>
        <w:t xml:space="preserve">Enfin, pour une majorité de chefs d’entreprise de plus de dix salariés interrogés par l’Insee, les perspectives de prix bâtiment restent légèrement haussières (cf. graphique </w:t>
      </w:r>
      <w:r w:rsidR="00873D8F" w:rsidRPr="00E0273E">
        <w:rPr>
          <w:rFonts w:ascii="Arial" w:hAnsi="Arial" w:cs="Arial"/>
        </w:rPr>
        <w:t>2</w:t>
      </w:r>
      <w:r w:rsidR="00E67FD8">
        <w:rPr>
          <w:rFonts w:ascii="Arial" w:hAnsi="Arial" w:cs="Arial"/>
        </w:rPr>
        <w:t>4</w:t>
      </w:r>
      <w:r w:rsidRPr="00E0273E">
        <w:rPr>
          <w:rFonts w:ascii="Arial" w:hAnsi="Arial" w:cs="Arial"/>
        </w:rPr>
        <w:t>).</w:t>
      </w:r>
    </w:p>
    <w:p w14:paraId="17AB9762" w14:textId="64D61752" w:rsidR="00946690" w:rsidRPr="002F1C8C" w:rsidRDefault="00B80265" w:rsidP="00946690">
      <w:pPr>
        <w:spacing w:after="0" w:line="360" w:lineRule="auto"/>
        <w:jc w:val="center"/>
        <w:rPr>
          <w:rFonts w:ascii="Arial" w:hAnsi="Arial" w:cs="Arial"/>
        </w:rPr>
      </w:pPr>
      <w:r>
        <w:rPr>
          <w:rFonts w:ascii="Arial" w:hAnsi="Arial" w:cs="Arial"/>
        </w:rPr>
        <w:t>G</w:t>
      </w:r>
      <w:r w:rsidR="00946690" w:rsidRPr="002F1C8C">
        <w:rPr>
          <w:rFonts w:ascii="Arial" w:hAnsi="Arial" w:cs="Arial"/>
        </w:rPr>
        <w:t xml:space="preserve">raphique </w:t>
      </w:r>
      <w:r w:rsidR="00946690">
        <w:rPr>
          <w:rFonts w:ascii="Arial" w:hAnsi="Arial" w:cs="Arial"/>
        </w:rPr>
        <w:t>2</w:t>
      </w:r>
      <w:r w:rsidR="00E67FD8">
        <w:rPr>
          <w:rFonts w:ascii="Arial" w:hAnsi="Arial" w:cs="Arial"/>
        </w:rPr>
        <w:t>4</w:t>
      </w:r>
      <w:r w:rsidR="00946690" w:rsidRPr="002F1C8C">
        <w:rPr>
          <w:rFonts w:ascii="Arial" w:hAnsi="Arial" w:cs="Arial"/>
        </w:rPr>
        <w:t xml:space="preserve"> – </w:t>
      </w:r>
      <w:r w:rsidR="00946690" w:rsidRPr="002F1C8C">
        <w:rPr>
          <w:rFonts w:ascii="Arial" w:hAnsi="Arial" w:cs="Arial"/>
          <w:b/>
        </w:rPr>
        <w:t>Opinions des chefs d’entreprise de plus de dix salariés sur les perspectives de prix dans le bâtiment</w:t>
      </w:r>
    </w:p>
    <w:p w14:paraId="2CDB4E7D" w14:textId="7BC20DA1" w:rsidR="00946690" w:rsidRDefault="00ED0F80" w:rsidP="00675802">
      <w:pPr>
        <w:spacing w:after="60" w:line="240" w:lineRule="auto"/>
        <w:jc w:val="center"/>
        <w:rPr>
          <w:rFonts w:ascii="Arial" w:hAnsi="Arial" w:cs="Arial"/>
        </w:rPr>
      </w:pPr>
      <w:r w:rsidRPr="00ED0F80">
        <w:rPr>
          <w:rFonts w:ascii="Arial" w:hAnsi="Arial" w:cs="Arial"/>
          <w:noProof/>
        </w:rPr>
        <w:drawing>
          <wp:inline distT="0" distB="0" distL="0" distR="0" wp14:anchorId="3DBB592F" wp14:editId="12C5C6EE">
            <wp:extent cx="5760720" cy="3054985"/>
            <wp:effectExtent l="0" t="0" r="0" b="0"/>
            <wp:docPr id="123521970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3054985"/>
                    </a:xfrm>
                    <a:prstGeom prst="rect">
                      <a:avLst/>
                    </a:prstGeom>
                    <a:noFill/>
                    <a:ln>
                      <a:noFill/>
                    </a:ln>
                  </pic:spPr>
                </pic:pic>
              </a:graphicData>
            </a:graphic>
          </wp:inline>
        </w:drawing>
      </w:r>
    </w:p>
    <w:p w14:paraId="2537D530" w14:textId="2129494E" w:rsidR="00C32F01" w:rsidRPr="009364C9" w:rsidRDefault="00946690" w:rsidP="00CD48ED">
      <w:pPr>
        <w:spacing w:after="120" w:line="360" w:lineRule="auto"/>
        <w:jc w:val="center"/>
        <w:rPr>
          <w:rFonts w:ascii="Arial" w:hAnsi="Arial" w:cs="Arial"/>
        </w:rPr>
      </w:pPr>
      <w:r w:rsidRPr="000965EA">
        <w:rPr>
          <w:rFonts w:ascii="Arial" w:hAnsi="Arial" w:cs="Arial"/>
          <w:i/>
          <w:sz w:val="20"/>
          <w:szCs w:val="20"/>
        </w:rPr>
        <w:t xml:space="preserve">Source : </w:t>
      </w:r>
      <w:r w:rsidR="0094159A">
        <w:rPr>
          <w:rFonts w:ascii="Arial" w:hAnsi="Arial" w:cs="Arial"/>
          <w:i/>
          <w:sz w:val="20"/>
          <w:szCs w:val="20"/>
        </w:rPr>
        <w:t xml:space="preserve">calculs FFB d’après </w:t>
      </w:r>
      <w:r w:rsidRPr="000965EA">
        <w:rPr>
          <w:rFonts w:ascii="Arial" w:hAnsi="Arial" w:cs="Arial"/>
          <w:i/>
          <w:sz w:val="20"/>
          <w:szCs w:val="20"/>
        </w:rPr>
        <w:t>Insee</w:t>
      </w:r>
      <w:r w:rsidRPr="00782414">
        <w:rPr>
          <w:rFonts w:ascii="Arial" w:hAnsi="Arial" w:cs="Arial"/>
        </w:rPr>
        <w:t xml:space="preserve"> </w:t>
      </w:r>
    </w:p>
    <w:sectPr w:rsidR="00C32F01" w:rsidRPr="009364C9" w:rsidSect="00BF2A88">
      <w:footerReference w:type="default" r:id="rId39"/>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DF1A" w14:textId="77777777" w:rsidR="00BF2A88" w:rsidRDefault="00BF2A88" w:rsidP="005C55E7">
      <w:pPr>
        <w:spacing w:after="0" w:line="240" w:lineRule="auto"/>
      </w:pPr>
      <w:r>
        <w:separator/>
      </w:r>
    </w:p>
  </w:endnote>
  <w:endnote w:type="continuationSeparator" w:id="0">
    <w:p w14:paraId="54B3A3E1" w14:textId="77777777" w:rsidR="00BF2A88" w:rsidRDefault="00BF2A88" w:rsidP="005C55E7">
      <w:pPr>
        <w:spacing w:after="0" w:line="240" w:lineRule="auto"/>
      </w:pPr>
      <w:r>
        <w:continuationSeparator/>
      </w:r>
    </w:p>
  </w:endnote>
  <w:endnote w:type="continuationNotice" w:id="1">
    <w:p w14:paraId="20C4F526" w14:textId="77777777" w:rsidR="00BF2A88" w:rsidRDefault="00BF2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stem">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19292121"/>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6E649E43" w14:textId="6E5A747A" w:rsidR="00311269" w:rsidRPr="00AB50FB" w:rsidRDefault="00311269">
            <w:pPr>
              <w:pStyle w:val="Pieddepage"/>
              <w:jc w:val="center"/>
              <w:rPr>
                <w:rFonts w:ascii="Arial" w:hAnsi="Arial" w:cs="Arial"/>
              </w:rPr>
            </w:pPr>
            <w:r w:rsidRPr="00AB50FB">
              <w:rPr>
                <w:rFonts w:ascii="Arial" w:hAnsi="Arial" w:cs="Arial"/>
                <w:bCs/>
              </w:rPr>
              <w:fldChar w:fldCharType="begin"/>
            </w:r>
            <w:r w:rsidRPr="00AB50FB">
              <w:rPr>
                <w:rFonts w:ascii="Arial" w:hAnsi="Arial" w:cs="Arial"/>
                <w:bCs/>
              </w:rPr>
              <w:instrText>PAGE</w:instrText>
            </w:r>
            <w:r w:rsidRPr="00AB50FB">
              <w:rPr>
                <w:rFonts w:ascii="Arial" w:hAnsi="Arial" w:cs="Arial"/>
                <w:bCs/>
              </w:rPr>
              <w:fldChar w:fldCharType="separate"/>
            </w:r>
            <w:r w:rsidR="003B1FAA">
              <w:rPr>
                <w:rFonts w:ascii="Arial" w:hAnsi="Arial" w:cs="Arial"/>
                <w:bCs/>
                <w:noProof/>
              </w:rPr>
              <w:t>2</w:t>
            </w:r>
            <w:r w:rsidRPr="00AB50FB">
              <w:rPr>
                <w:rFonts w:ascii="Arial" w:hAnsi="Arial" w:cs="Arial"/>
                <w:bCs/>
              </w:rPr>
              <w:fldChar w:fldCharType="end"/>
            </w:r>
            <w:r w:rsidRPr="00AB50FB">
              <w:rPr>
                <w:rFonts w:ascii="Arial" w:hAnsi="Arial" w:cs="Arial"/>
                <w:bCs/>
              </w:rPr>
              <w:t>/</w:t>
            </w:r>
            <w:r w:rsidRPr="00AB50FB">
              <w:rPr>
                <w:rFonts w:ascii="Arial" w:hAnsi="Arial" w:cs="Arial"/>
                <w:bCs/>
              </w:rPr>
              <w:fldChar w:fldCharType="begin"/>
            </w:r>
            <w:r w:rsidRPr="00AB50FB">
              <w:rPr>
                <w:rFonts w:ascii="Arial" w:hAnsi="Arial" w:cs="Arial"/>
                <w:bCs/>
              </w:rPr>
              <w:instrText>NUMPAGES</w:instrText>
            </w:r>
            <w:r w:rsidRPr="00AB50FB">
              <w:rPr>
                <w:rFonts w:ascii="Arial" w:hAnsi="Arial" w:cs="Arial"/>
                <w:bCs/>
              </w:rPr>
              <w:fldChar w:fldCharType="separate"/>
            </w:r>
            <w:r w:rsidR="003B1FAA">
              <w:rPr>
                <w:rFonts w:ascii="Arial" w:hAnsi="Arial" w:cs="Arial"/>
                <w:bCs/>
                <w:noProof/>
              </w:rPr>
              <w:t>23</w:t>
            </w:r>
            <w:r w:rsidRPr="00AB50FB">
              <w:rPr>
                <w:rFonts w:ascii="Arial" w:hAnsi="Arial" w:cs="Arial"/>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7791"/>
    </w:tblGrid>
    <w:tr w:rsidR="00311269" w:rsidRPr="00FF2A70" w14:paraId="6809DE7C" w14:textId="77777777" w:rsidTr="004C5ADD">
      <w:tc>
        <w:tcPr>
          <w:tcW w:w="999" w:type="dxa"/>
        </w:tcPr>
        <w:p w14:paraId="5DEB9FB4" w14:textId="77777777" w:rsidR="00311269" w:rsidRPr="00FF2A70" w:rsidRDefault="00311269" w:rsidP="00FF2A70">
          <w:pPr>
            <w:rPr>
              <w:rFonts w:ascii="Calibri" w:eastAsia="Calibri" w:hAnsi="Calibri" w:cs="Times New Roman"/>
            </w:rPr>
          </w:pPr>
          <w:r w:rsidRPr="00FF2A70">
            <w:rPr>
              <w:rFonts w:ascii="System" w:eastAsia="Calibri" w:hAnsi="System" w:cs="Arial"/>
              <w:b/>
              <w:noProof/>
              <w:lang w:eastAsia="fr-FR"/>
            </w:rPr>
            <w:drawing>
              <wp:inline distT="0" distB="0" distL="0" distR="0" wp14:anchorId="5DA92392" wp14:editId="2BC84493">
                <wp:extent cx="497713" cy="468000"/>
                <wp:effectExtent l="0" t="0" r="0" b="8255"/>
                <wp:docPr id="26" name="Image 26" descr="Afaq_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Afaq_9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713" cy="468000"/>
                        </a:xfrm>
                        <a:prstGeom prst="rect">
                          <a:avLst/>
                        </a:prstGeom>
                        <a:noFill/>
                        <a:ln>
                          <a:noFill/>
                        </a:ln>
                      </pic:spPr>
                    </pic:pic>
                  </a:graphicData>
                </a:graphic>
              </wp:inline>
            </w:drawing>
          </w:r>
        </w:p>
      </w:tc>
      <w:tc>
        <w:tcPr>
          <w:tcW w:w="7791" w:type="dxa"/>
        </w:tcPr>
        <w:p w14:paraId="335A94BB" w14:textId="77777777" w:rsidR="00311269" w:rsidRPr="00FF2A70" w:rsidRDefault="00311269" w:rsidP="00FF2A70">
          <w:pPr>
            <w:widowControl w:val="0"/>
            <w:overflowPunct w:val="0"/>
            <w:autoSpaceDE w:val="0"/>
            <w:autoSpaceDN w:val="0"/>
            <w:adjustRightInd w:val="0"/>
            <w:rPr>
              <w:rFonts w:ascii="Arial" w:eastAsia="Times New Roman" w:hAnsi="Arial" w:cs="Times New Roman"/>
              <w:b/>
              <w:sz w:val="16"/>
              <w:szCs w:val="16"/>
              <w:lang w:eastAsia="fr-FR"/>
            </w:rPr>
          </w:pPr>
          <w:r w:rsidRPr="00FF2A70">
            <w:rPr>
              <w:rFonts w:ascii="Arial" w:eastAsia="Times New Roman" w:hAnsi="Arial" w:cs="Times New Roman"/>
              <w:b/>
              <w:sz w:val="16"/>
              <w:szCs w:val="16"/>
              <w:lang w:eastAsia="fr-FR"/>
            </w:rPr>
            <w:t>FEDERATION FRANCAISE DU BATIMENT</w:t>
          </w:r>
        </w:p>
        <w:p w14:paraId="3508A9B1" w14:textId="77777777" w:rsidR="00311269" w:rsidRPr="00FF2A70" w:rsidRDefault="00311269" w:rsidP="00FF2A70">
          <w:pPr>
            <w:widowControl w:val="0"/>
            <w:overflowPunct w:val="0"/>
            <w:autoSpaceDE w:val="0"/>
            <w:autoSpaceDN w:val="0"/>
            <w:adjustRightInd w:val="0"/>
            <w:rPr>
              <w:rFonts w:ascii="Arial" w:eastAsia="Times New Roman" w:hAnsi="Arial" w:cs="Times New Roman"/>
              <w:b/>
              <w:sz w:val="16"/>
              <w:szCs w:val="16"/>
              <w:lang w:eastAsia="fr-FR"/>
            </w:rPr>
          </w:pPr>
          <w:r w:rsidRPr="00FF2A70">
            <w:rPr>
              <w:rFonts w:ascii="Arial" w:eastAsia="Times New Roman" w:hAnsi="Arial" w:cs="Times New Roman"/>
              <w:b/>
              <w:sz w:val="16"/>
              <w:szCs w:val="16"/>
              <w:lang w:eastAsia="fr-FR"/>
            </w:rPr>
            <w:t>33 avenue Kléber</w:t>
          </w:r>
        </w:p>
        <w:p w14:paraId="2862CA63" w14:textId="77777777" w:rsidR="00311269" w:rsidRPr="00FF2A70" w:rsidRDefault="00311269" w:rsidP="00FF2A70">
          <w:pPr>
            <w:widowControl w:val="0"/>
            <w:overflowPunct w:val="0"/>
            <w:autoSpaceDE w:val="0"/>
            <w:autoSpaceDN w:val="0"/>
            <w:adjustRightInd w:val="0"/>
            <w:rPr>
              <w:rFonts w:ascii="Arial" w:eastAsia="Times New Roman" w:hAnsi="Arial" w:cs="Times New Roman"/>
              <w:b/>
              <w:sz w:val="16"/>
              <w:szCs w:val="16"/>
              <w:lang w:eastAsia="fr-FR"/>
            </w:rPr>
          </w:pPr>
          <w:r w:rsidRPr="00FF2A70">
            <w:rPr>
              <w:rFonts w:ascii="Arial" w:eastAsia="Times New Roman" w:hAnsi="Arial" w:cs="Times New Roman"/>
              <w:b/>
              <w:sz w:val="16"/>
              <w:szCs w:val="16"/>
              <w:lang w:eastAsia="fr-FR"/>
            </w:rPr>
            <w:t>75784 PARIS Cedex 16</w:t>
          </w:r>
        </w:p>
        <w:p w14:paraId="70FAFEB2" w14:textId="77777777" w:rsidR="00311269" w:rsidRPr="00FF2A70" w:rsidRDefault="00311269" w:rsidP="00FF2A70">
          <w:pPr>
            <w:rPr>
              <w:rFonts w:ascii="Calibri" w:eastAsia="Calibri" w:hAnsi="Calibri" w:cs="Times New Roman"/>
            </w:rPr>
          </w:pPr>
          <w:r w:rsidRPr="00FF2A70">
            <w:rPr>
              <w:rFonts w:ascii="Arial" w:eastAsia="Times New Roman" w:hAnsi="Arial" w:cs="Times New Roman"/>
              <w:b/>
              <w:sz w:val="16"/>
              <w:szCs w:val="16"/>
              <w:lang w:eastAsia="fr-FR"/>
            </w:rPr>
            <w:t>Téléphone : 01 40 69 51 00 – Télécopie : 01 45 53 58 77</w:t>
          </w:r>
        </w:p>
      </w:tc>
    </w:tr>
  </w:tbl>
  <w:p w14:paraId="2F89F620" w14:textId="77777777" w:rsidR="00311269" w:rsidRPr="004C5ADD" w:rsidRDefault="00311269" w:rsidP="00A110EC">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89F9" w14:textId="77777777" w:rsidR="00BF2A88" w:rsidRDefault="00BF2A88" w:rsidP="005C55E7">
      <w:pPr>
        <w:spacing w:after="0" w:line="240" w:lineRule="auto"/>
      </w:pPr>
      <w:r>
        <w:separator/>
      </w:r>
    </w:p>
  </w:footnote>
  <w:footnote w:type="continuationSeparator" w:id="0">
    <w:p w14:paraId="5698255D" w14:textId="77777777" w:rsidR="00BF2A88" w:rsidRDefault="00BF2A88" w:rsidP="005C55E7">
      <w:pPr>
        <w:spacing w:after="0" w:line="240" w:lineRule="auto"/>
      </w:pPr>
      <w:r>
        <w:continuationSeparator/>
      </w:r>
    </w:p>
  </w:footnote>
  <w:footnote w:type="continuationNotice" w:id="1">
    <w:p w14:paraId="5964DED5" w14:textId="77777777" w:rsidR="00BF2A88" w:rsidRDefault="00BF2A88">
      <w:pPr>
        <w:spacing w:after="0" w:line="240" w:lineRule="auto"/>
      </w:pPr>
    </w:p>
  </w:footnote>
  <w:footnote w:id="2">
    <w:p w14:paraId="5939A0A6" w14:textId="57470169" w:rsidR="00A73E24" w:rsidRPr="002A609F" w:rsidRDefault="00A73E24" w:rsidP="002A609F">
      <w:pPr>
        <w:pStyle w:val="Notedebasdepage"/>
        <w:ind w:left="284" w:hanging="284"/>
        <w:jc w:val="both"/>
        <w:rPr>
          <w:rFonts w:ascii="Arial" w:hAnsi="Arial" w:cs="Arial"/>
        </w:rPr>
      </w:pPr>
      <w:r w:rsidRPr="002A609F">
        <w:rPr>
          <w:rStyle w:val="Appelnotedebasdep"/>
          <w:rFonts w:ascii="Arial" w:hAnsi="Arial" w:cs="Arial"/>
        </w:rPr>
        <w:footnoteRef/>
      </w:r>
      <w:r w:rsidRPr="002A609F">
        <w:rPr>
          <w:rFonts w:ascii="Arial" w:hAnsi="Arial" w:cs="Arial"/>
        </w:rPr>
        <w:tab/>
        <w:t xml:space="preserve">Dans les flux d’investissement des entreprises, celui en construction se distingue toutefois ; il </w:t>
      </w:r>
      <w:r w:rsidR="002A609F" w:rsidRPr="002A609F">
        <w:rPr>
          <w:rFonts w:ascii="Arial" w:hAnsi="Arial" w:cs="Arial"/>
        </w:rPr>
        <w:t>se replie de 3,</w:t>
      </w:r>
      <w:r w:rsidR="00B01BC9">
        <w:rPr>
          <w:rFonts w:ascii="Arial" w:hAnsi="Arial" w:cs="Arial"/>
        </w:rPr>
        <w:t>7</w:t>
      </w:r>
      <w:r w:rsidR="002A609F" w:rsidRPr="002A609F">
        <w:rPr>
          <w:rFonts w:ascii="Arial" w:hAnsi="Arial" w:cs="Arial"/>
        </w:rPr>
        <w:t> % en 2023.</w:t>
      </w:r>
    </w:p>
  </w:footnote>
  <w:footnote w:id="3">
    <w:p w14:paraId="52CC07AB" w14:textId="77777777" w:rsidR="00311269" w:rsidRPr="00E35EE1" w:rsidRDefault="00311269" w:rsidP="00644165">
      <w:pPr>
        <w:pStyle w:val="Notedebasdepage"/>
        <w:ind w:left="142" w:hanging="142"/>
        <w:jc w:val="both"/>
        <w:rPr>
          <w:rFonts w:ascii="Arial" w:hAnsi="Arial" w:cs="Arial"/>
        </w:rPr>
      </w:pPr>
      <w:r w:rsidRPr="00E35EE1">
        <w:rPr>
          <w:rStyle w:val="Appelnotedebasdep"/>
          <w:rFonts w:ascii="Arial" w:hAnsi="Arial" w:cs="Arial"/>
        </w:rPr>
        <w:footnoteRef/>
      </w:r>
      <w:r>
        <w:rPr>
          <w:rFonts w:ascii="Arial" w:hAnsi="Arial" w:cs="Arial"/>
        </w:rPr>
        <w:t xml:space="preserve"> </w:t>
      </w:r>
      <w:r w:rsidRPr="00E35EE1">
        <w:rPr>
          <w:rFonts w:ascii="Arial" w:hAnsi="Arial" w:cs="Arial"/>
        </w:rPr>
        <w:t>En nombre de logements en date réelle estimée (DRE), y compris construction sur existant, en France entière.</w:t>
      </w:r>
    </w:p>
  </w:footnote>
  <w:footnote w:id="4">
    <w:p w14:paraId="6722B983" w14:textId="77777777" w:rsidR="003D16CC" w:rsidRPr="00113ECF" w:rsidRDefault="003D16CC" w:rsidP="003D16CC">
      <w:pPr>
        <w:pStyle w:val="Notedebasdepage"/>
        <w:jc w:val="both"/>
        <w:rPr>
          <w:rFonts w:ascii="Arial" w:hAnsi="Arial" w:cs="Arial"/>
        </w:rPr>
      </w:pPr>
      <w:r w:rsidRPr="00113ECF">
        <w:rPr>
          <w:rStyle w:val="Appelnotedebasdep"/>
          <w:rFonts w:ascii="Arial" w:hAnsi="Arial" w:cs="Arial"/>
        </w:rPr>
        <w:footnoteRef/>
      </w:r>
      <w:r w:rsidRPr="00113ECF">
        <w:rPr>
          <w:rFonts w:ascii="Arial" w:hAnsi="Arial" w:cs="Arial"/>
        </w:rPr>
        <w:t xml:space="preserve"> Aux seuls particuliers.</w:t>
      </w:r>
    </w:p>
  </w:footnote>
  <w:footnote w:id="5">
    <w:p w14:paraId="24DD7C4C" w14:textId="7A2B8679" w:rsidR="00311269" w:rsidRPr="004954B7" w:rsidRDefault="00311269" w:rsidP="00BF4A51">
      <w:pPr>
        <w:pStyle w:val="Notedebasdepage"/>
        <w:ind w:left="142" w:hanging="142"/>
        <w:jc w:val="both"/>
        <w:rPr>
          <w:rFonts w:ascii="Arial" w:hAnsi="Arial" w:cs="Arial"/>
        </w:rPr>
      </w:pPr>
      <w:r w:rsidRPr="004954B7">
        <w:rPr>
          <w:rStyle w:val="Appelnotedebasdep"/>
          <w:rFonts w:ascii="Arial" w:hAnsi="Arial" w:cs="Arial"/>
        </w:rPr>
        <w:footnoteRef/>
      </w:r>
      <w:r w:rsidRPr="004954B7">
        <w:rPr>
          <w:rFonts w:ascii="Arial" w:hAnsi="Arial" w:cs="Arial"/>
        </w:rPr>
        <w:t xml:space="preserve"> Ce segment reste</w:t>
      </w:r>
      <w:r>
        <w:rPr>
          <w:rFonts w:ascii="Arial" w:hAnsi="Arial" w:cs="Arial"/>
        </w:rPr>
        <w:t>,</w:t>
      </w:r>
      <w:r w:rsidRPr="004954B7">
        <w:rPr>
          <w:rFonts w:ascii="Arial" w:hAnsi="Arial" w:cs="Arial"/>
        </w:rPr>
        <w:t xml:space="preserve"> pour l'heure</w:t>
      </w:r>
      <w:r>
        <w:rPr>
          <w:rFonts w:ascii="Arial" w:hAnsi="Arial" w:cs="Arial"/>
        </w:rPr>
        <w:t>, exprimé en date de prise en compte (DPC). Les données ressortent telles qu’enregistrées dans le système informatique, et non estimées à l’aide de modèles économétriques comme pour le logement.</w:t>
      </w:r>
    </w:p>
  </w:footnote>
  <w:footnote w:id="6">
    <w:p w14:paraId="4B2A73B7" w14:textId="3F84CE74" w:rsidR="00311269" w:rsidRPr="00AB302B" w:rsidRDefault="00311269" w:rsidP="00BF4A51">
      <w:pPr>
        <w:pStyle w:val="Notedebasdepage"/>
        <w:ind w:left="142" w:hanging="142"/>
        <w:jc w:val="both"/>
        <w:rPr>
          <w:rFonts w:ascii="Arial" w:hAnsi="Arial" w:cs="Arial"/>
        </w:rPr>
      </w:pPr>
      <w:r w:rsidRPr="00AB302B">
        <w:rPr>
          <w:rStyle w:val="Appelnotedebasdep"/>
          <w:rFonts w:ascii="Arial" w:hAnsi="Arial" w:cs="Arial"/>
        </w:rPr>
        <w:footnoteRef/>
      </w:r>
      <w:r>
        <w:rPr>
          <w:rFonts w:ascii="Arial" w:hAnsi="Arial" w:cs="Arial"/>
        </w:rPr>
        <w:tab/>
      </w:r>
      <w:r w:rsidRPr="00AB302B">
        <w:rPr>
          <w:rFonts w:ascii="Arial" w:hAnsi="Arial" w:cs="Arial"/>
        </w:rPr>
        <w:t xml:space="preserve">En </w:t>
      </w:r>
      <w:r>
        <w:rPr>
          <w:rFonts w:ascii="Arial" w:hAnsi="Arial" w:cs="Arial"/>
        </w:rPr>
        <w:t>m² de surface de plancher e</w:t>
      </w:r>
      <w:r w:rsidRPr="00AB302B">
        <w:rPr>
          <w:rFonts w:ascii="Arial" w:hAnsi="Arial" w:cs="Arial"/>
        </w:rPr>
        <w:t>n D</w:t>
      </w:r>
      <w:r>
        <w:rPr>
          <w:rFonts w:ascii="Arial" w:hAnsi="Arial" w:cs="Arial"/>
        </w:rPr>
        <w:t>PC</w:t>
      </w:r>
      <w:r w:rsidRPr="00AB302B">
        <w:rPr>
          <w:rFonts w:ascii="Arial" w:hAnsi="Arial" w:cs="Arial"/>
        </w:rPr>
        <w:t>, y compris construction sur existant, en France entière.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0D53" w14:textId="0D9BB7F0" w:rsidR="00311269" w:rsidRPr="00FF2A70" w:rsidRDefault="00311269" w:rsidP="00373011">
    <w:pPr>
      <w:tabs>
        <w:tab w:val="center" w:pos="4536"/>
        <w:tab w:val="right" w:pos="8647"/>
      </w:tabs>
      <w:spacing w:after="0" w:line="240" w:lineRule="auto"/>
      <w:jc w:val="both"/>
      <w:rPr>
        <w:rFonts w:ascii="Calibri" w:eastAsia="Calibri" w:hAnsi="Calibri" w:cs="Times New Roman"/>
      </w:rPr>
    </w:pPr>
    <w:r w:rsidRPr="00FF2A70">
      <w:rPr>
        <w:rFonts w:ascii="Calibri" w:eastAsia="Calibri" w:hAnsi="Calibri" w:cs="Arial"/>
        <w:noProof/>
        <w:lang w:eastAsia="fr-FR"/>
      </w:rPr>
      <w:drawing>
        <wp:inline distT="0" distB="0" distL="0" distR="0" wp14:anchorId="67EC40F2" wp14:editId="074C7081">
          <wp:extent cx="1541360" cy="648000"/>
          <wp:effectExtent l="0" t="0" r="1905" b="0"/>
          <wp:docPr id="24" name="Image 24" descr="logof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logoff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360" cy="648000"/>
                  </a:xfrm>
                  <a:prstGeom prst="rect">
                    <a:avLst/>
                  </a:prstGeom>
                  <a:noFill/>
                  <a:ln>
                    <a:noFill/>
                  </a:ln>
                </pic:spPr>
              </pic:pic>
            </a:graphicData>
          </a:graphic>
        </wp:inline>
      </w:drawing>
    </w:r>
    <w:r>
      <w:rPr>
        <w:rFonts w:ascii="Arial" w:eastAsia="Times New Roman" w:hAnsi="Arial" w:cs="Arial"/>
        <w:lang w:eastAsia="fr-FR"/>
      </w:rPr>
      <w:tab/>
    </w:r>
    <w:r>
      <w:rPr>
        <w:rFonts w:ascii="Arial" w:eastAsia="Times New Roman" w:hAnsi="Arial" w:cs="Arial"/>
        <w:lang w:eastAsia="fr-FR"/>
      </w:rPr>
      <w:tab/>
    </w:r>
    <w:r w:rsidRPr="00FF2A70">
      <w:rPr>
        <w:rFonts w:ascii="Arial" w:eastAsia="Times New Roman" w:hAnsi="Arial" w:cs="Arial"/>
        <w:lang w:eastAsia="fr-FR"/>
      </w:rPr>
      <w:t xml:space="preserve">Paris, </w:t>
    </w:r>
    <w:r w:rsidR="008238B2">
      <w:rPr>
        <w:rFonts w:ascii="Arial" w:eastAsia="Times New Roman" w:hAnsi="Arial" w:cs="Arial"/>
        <w:lang w:eastAsia="fr-FR"/>
      </w:rPr>
      <w:t>12</w:t>
    </w:r>
    <w:r w:rsidR="00576D73">
      <w:rPr>
        <w:rFonts w:ascii="Arial" w:eastAsia="Times New Roman" w:hAnsi="Arial" w:cs="Arial"/>
        <w:lang w:eastAsia="fr-FR"/>
      </w:rPr>
      <w:t xml:space="preserve"> mars</w:t>
    </w:r>
    <w:r>
      <w:rPr>
        <w:rFonts w:ascii="Arial" w:eastAsia="Times New Roman" w:hAnsi="Arial" w:cs="Arial"/>
        <w:lang w:eastAsia="fr-FR"/>
      </w:rPr>
      <w:t xml:space="preserve"> 202</w:t>
    </w:r>
    <w:r w:rsidR="004B618D">
      <w:rPr>
        <w:rFonts w:ascii="Arial" w:eastAsia="Times New Roman" w:hAnsi="Arial" w:cs="Arial"/>
        <w:lang w:eastAsia="fr-FR"/>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0E0A"/>
    <w:multiLevelType w:val="hybridMultilevel"/>
    <w:tmpl w:val="69D6BEE0"/>
    <w:lvl w:ilvl="0" w:tplc="E51A987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F65136"/>
    <w:multiLevelType w:val="hybridMultilevel"/>
    <w:tmpl w:val="8F08A2E2"/>
    <w:lvl w:ilvl="0" w:tplc="5BB45C7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D352B2"/>
    <w:multiLevelType w:val="hybridMultilevel"/>
    <w:tmpl w:val="6F8E27C4"/>
    <w:lvl w:ilvl="0" w:tplc="F168E93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691EDF"/>
    <w:multiLevelType w:val="hybridMultilevel"/>
    <w:tmpl w:val="1F94EF1A"/>
    <w:lvl w:ilvl="0" w:tplc="44002412">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 w15:restartNumberingAfterBreak="0">
    <w:nsid w:val="0E853C8E"/>
    <w:multiLevelType w:val="hybridMultilevel"/>
    <w:tmpl w:val="C7DE0544"/>
    <w:lvl w:ilvl="0" w:tplc="F168E93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7A3216"/>
    <w:multiLevelType w:val="hybridMultilevel"/>
    <w:tmpl w:val="93CC9CE8"/>
    <w:lvl w:ilvl="0" w:tplc="CB00551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7F21C0"/>
    <w:multiLevelType w:val="hybridMultilevel"/>
    <w:tmpl w:val="ECD2C416"/>
    <w:lvl w:ilvl="0" w:tplc="63947C1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096C63"/>
    <w:multiLevelType w:val="hybridMultilevel"/>
    <w:tmpl w:val="2BC4670C"/>
    <w:lvl w:ilvl="0" w:tplc="956AA6A8">
      <w:start w:val="1"/>
      <w:numFmt w:val="upperRoman"/>
      <w:lvlText w:val="%1."/>
      <w:lvlJc w:val="righ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4048B1"/>
    <w:multiLevelType w:val="hybridMultilevel"/>
    <w:tmpl w:val="850ED2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464575"/>
    <w:multiLevelType w:val="hybridMultilevel"/>
    <w:tmpl w:val="EEB889AA"/>
    <w:lvl w:ilvl="0" w:tplc="AFC6E7A0">
      <w:start w:val="2"/>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0C416D"/>
    <w:multiLevelType w:val="hybridMultilevel"/>
    <w:tmpl w:val="2CB8FD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1F69DE"/>
    <w:multiLevelType w:val="hybridMultilevel"/>
    <w:tmpl w:val="9086DDB6"/>
    <w:lvl w:ilvl="0" w:tplc="06BCA52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4333A"/>
    <w:multiLevelType w:val="hybridMultilevel"/>
    <w:tmpl w:val="F1086FC6"/>
    <w:lvl w:ilvl="0" w:tplc="72F6E42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14C07"/>
    <w:multiLevelType w:val="hybridMultilevel"/>
    <w:tmpl w:val="B010D8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6E7DEB"/>
    <w:multiLevelType w:val="hybridMultilevel"/>
    <w:tmpl w:val="DB7A796C"/>
    <w:lvl w:ilvl="0" w:tplc="63947C1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EA0307"/>
    <w:multiLevelType w:val="hybridMultilevel"/>
    <w:tmpl w:val="5A780352"/>
    <w:lvl w:ilvl="0" w:tplc="63947C1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474376"/>
    <w:multiLevelType w:val="hybridMultilevel"/>
    <w:tmpl w:val="AF7A51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E713F0"/>
    <w:multiLevelType w:val="hybridMultilevel"/>
    <w:tmpl w:val="0874CD56"/>
    <w:lvl w:ilvl="0" w:tplc="0FE6472E">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125666"/>
    <w:multiLevelType w:val="hybridMultilevel"/>
    <w:tmpl w:val="F5C410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0C610F"/>
    <w:multiLevelType w:val="hybridMultilevel"/>
    <w:tmpl w:val="7EA60440"/>
    <w:lvl w:ilvl="0" w:tplc="63947C1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0669E0"/>
    <w:multiLevelType w:val="hybridMultilevel"/>
    <w:tmpl w:val="C322AB92"/>
    <w:lvl w:ilvl="0" w:tplc="06BCA522">
      <w:numFmt w:val="bullet"/>
      <w:lvlText w:val="-"/>
      <w:lvlJc w:val="left"/>
      <w:pPr>
        <w:ind w:left="780" w:hanging="360"/>
      </w:pPr>
      <w:rPr>
        <w:rFonts w:ascii="Arial" w:eastAsia="Calibri" w:hAnsi="Aria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60A1456B"/>
    <w:multiLevelType w:val="hybridMultilevel"/>
    <w:tmpl w:val="9FBEAC0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6BC0EA5"/>
    <w:multiLevelType w:val="hybridMultilevel"/>
    <w:tmpl w:val="E188D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44179F"/>
    <w:multiLevelType w:val="hybridMultilevel"/>
    <w:tmpl w:val="CD1667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406A37"/>
    <w:multiLevelType w:val="hybridMultilevel"/>
    <w:tmpl w:val="2188B1E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C7C1091"/>
    <w:multiLevelType w:val="hybridMultilevel"/>
    <w:tmpl w:val="64BAC2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9965A5"/>
    <w:multiLevelType w:val="hybridMultilevel"/>
    <w:tmpl w:val="7CAC340A"/>
    <w:lvl w:ilvl="0" w:tplc="DD26B608">
      <w:start w:val="1"/>
      <w:numFmt w:val="bullet"/>
      <w:lvlText w:val="•"/>
      <w:lvlJc w:val="left"/>
      <w:pPr>
        <w:tabs>
          <w:tab w:val="num" w:pos="720"/>
        </w:tabs>
        <w:ind w:left="720" w:hanging="360"/>
      </w:pPr>
      <w:rPr>
        <w:rFonts w:ascii="Arial" w:hAnsi="Arial" w:hint="default"/>
      </w:rPr>
    </w:lvl>
    <w:lvl w:ilvl="1" w:tplc="C0E25896" w:tentative="1">
      <w:start w:val="1"/>
      <w:numFmt w:val="bullet"/>
      <w:lvlText w:val="•"/>
      <w:lvlJc w:val="left"/>
      <w:pPr>
        <w:tabs>
          <w:tab w:val="num" w:pos="1440"/>
        </w:tabs>
        <w:ind w:left="1440" w:hanging="360"/>
      </w:pPr>
      <w:rPr>
        <w:rFonts w:ascii="Arial" w:hAnsi="Arial" w:hint="default"/>
      </w:rPr>
    </w:lvl>
    <w:lvl w:ilvl="2" w:tplc="F25AF040" w:tentative="1">
      <w:start w:val="1"/>
      <w:numFmt w:val="bullet"/>
      <w:lvlText w:val="•"/>
      <w:lvlJc w:val="left"/>
      <w:pPr>
        <w:tabs>
          <w:tab w:val="num" w:pos="2160"/>
        </w:tabs>
        <w:ind w:left="2160" w:hanging="360"/>
      </w:pPr>
      <w:rPr>
        <w:rFonts w:ascii="Arial" w:hAnsi="Arial" w:hint="default"/>
      </w:rPr>
    </w:lvl>
    <w:lvl w:ilvl="3" w:tplc="8C52B728" w:tentative="1">
      <w:start w:val="1"/>
      <w:numFmt w:val="bullet"/>
      <w:lvlText w:val="•"/>
      <w:lvlJc w:val="left"/>
      <w:pPr>
        <w:tabs>
          <w:tab w:val="num" w:pos="2880"/>
        </w:tabs>
        <w:ind w:left="2880" w:hanging="360"/>
      </w:pPr>
      <w:rPr>
        <w:rFonts w:ascii="Arial" w:hAnsi="Arial" w:hint="default"/>
      </w:rPr>
    </w:lvl>
    <w:lvl w:ilvl="4" w:tplc="F0825A3E" w:tentative="1">
      <w:start w:val="1"/>
      <w:numFmt w:val="bullet"/>
      <w:lvlText w:val="•"/>
      <w:lvlJc w:val="left"/>
      <w:pPr>
        <w:tabs>
          <w:tab w:val="num" w:pos="3600"/>
        </w:tabs>
        <w:ind w:left="3600" w:hanging="360"/>
      </w:pPr>
      <w:rPr>
        <w:rFonts w:ascii="Arial" w:hAnsi="Arial" w:hint="default"/>
      </w:rPr>
    </w:lvl>
    <w:lvl w:ilvl="5" w:tplc="4DAE90F0" w:tentative="1">
      <w:start w:val="1"/>
      <w:numFmt w:val="bullet"/>
      <w:lvlText w:val="•"/>
      <w:lvlJc w:val="left"/>
      <w:pPr>
        <w:tabs>
          <w:tab w:val="num" w:pos="4320"/>
        </w:tabs>
        <w:ind w:left="4320" w:hanging="360"/>
      </w:pPr>
      <w:rPr>
        <w:rFonts w:ascii="Arial" w:hAnsi="Arial" w:hint="default"/>
      </w:rPr>
    </w:lvl>
    <w:lvl w:ilvl="6" w:tplc="EE3CF8EC" w:tentative="1">
      <w:start w:val="1"/>
      <w:numFmt w:val="bullet"/>
      <w:lvlText w:val="•"/>
      <w:lvlJc w:val="left"/>
      <w:pPr>
        <w:tabs>
          <w:tab w:val="num" w:pos="5040"/>
        </w:tabs>
        <w:ind w:left="5040" w:hanging="360"/>
      </w:pPr>
      <w:rPr>
        <w:rFonts w:ascii="Arial" w:hAnsi="Arial" w:hint="default"/>
      </w:rPr>
    </w:lvl>
    <w:lvl w:ilvl="7" w:tplc="282EC910" w:tentative="1">
      <w:start w:val="1"/>
      <w:numFmt w:val="bullet"/>
      <w:lvlText w:val="•"/>
      <w:lvlJc w:val="left"/>
      <w:pPr>
        <w:tabs>
          <w:tab w:val="num" w:pos="5760"/>
        </w:tabs>
        <w:ind w:left="5760" w:hanging="360"/>
      </w:pPr>
      <w:rPr>
        <w:rFonts w:ascii="Arial" w:hAnsi="Arial" w:hint="default"/>
      </w:rPr>
    </w:lvl>
    <w:lvl w:ilvl="8" w:tplc="DF24FD4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89B2016"/>
    <w:multiLevelType w:val="hybridMultilevel"/>
    <w:tmpl w:val="40B4C4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1629755">
    <w:abstractNumId w:val="17"/>
  </w:num>
  <w:num w:numId="2" w16cid:durableId="2053578685">
    <w:abstractNumId w:val="19"/>
  </w:num>
  <w:num w:numId="3" w16cid:durableId="1673336706">
    <w:abstractNumId w:val="5"/>
  </w:num>
  <w:num w:numId="4" w16cid:durableId="571277528">
    <w:abstractNumId w:val="7"/>
  </w:num>
  <w:num w:numId="5" w16cid:durableId="1466582140">
    <w:abstractNumId w:val="23"/>
  </w:num>
  <w:num w:numId="6" w16cid:durableId="1096361027">
    <w:abstractNumId w:val="21"/>
  </w:num>
  <w:num w:numId="7" w16cid:durableId="1195272548">
    <w:abstractNumId w:val="24"/>
  </w:num>
  <w:num w:numId="8" w16cid:durableId="2049143460">
    <w:abstractNumId w:val="25"/>
  </w:num>
  <w:num w:numId="9" w16cid:durableId="88937918">
    <w:abstractNumId w:val="0"/>
  </w:num>
  <w:num w:numId="10" w16cid:durableId="873539512">
    <w:abstractNumId w:val="2"/>
  </w:num>
  <w:num w:numId="11" w16cid:durableId="13169078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2654223">
    <w:abstractNumId w:val="4"/>
  </w:num>
  <w:num w:numId="13" w16cid:durableId="336427635">
    <w:abstractNumId w:val="3"/>
  </w:num>
  <w:num w:numId="14" w16cid:durableId="354774306">
    <w:abstractNumId w:val="13"/>
  </w:num>
  <w:num w:numId="15" w16cid:durableId="1333529929">
    <w:abstractNumId w:val="27"/>
  </w:num>
  <w:num w:numId="16" w16cid:durableId="1058746679">
    <w:abstractNumId w:val="15"/>
  </w:num>
  <w:num w:numId="17" w16cid:durableId="1108548950">
    <w:abstractNumId w:val="6"/>
  </w:num>
  <w:num w:numId="18" w16cid:durableId="662439667">
    <w:abstractNumId w:val="14"/>
  </w:num>
  <w:num w:numId="19" w16cid:durableId="444664182">
    <w:abstractNumId w:val="10"/>
  </w:num>
  <w:num w:numId="20" w16cid:durableId="1957713967">
    <w:abstractNumId w:val="8"/>
  </w:num>
  <w:num w:numId="21" w16cid:durableId="368920805">
    <w:abstractNumId w:val="18"/>
  </w:num>
  <w:num w:numId="22" w16cid:durableId="647516382">
    <w:abstractNumId w:val="16"/>
  </w:num>
  <w:num w:numId="23" w16cid:durableId="1689480190">
    <w:abstractNumId w:val="20"/>
  </w:num>
  <w:num w:numId="24" w16cid:durableId="1472939666">
    <w:abstractNumId w:val="1"/>
  </w:num>
  <w:num w:numId="25" w16cid:durableId="1635255037">
    <w:abstractNumId w:val="9"/>
  </w:num>
  <w:num w:numId="26" w16cid:durableId="1661302472">
    <w:abstractNumId w:val="11"/>
  </w:num>
  <w:num w:numId="27" w16cid:durableId="514538104">
    <w:abstractNumId w:val="26"/>
  </w:num>
  <w:num w:numId="28" w16cid:durableId="1643947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F7"/>
    <w:rsid w:val="00000140"/>
    <w:rsid w:val="0000020D"/>
    <w:rsid w:val="0000025A"/>
    <w:rsid w:val="0000037C"/>
    <w:rsid w:val="00001B45"/>
    <w:rsid w:val="00001B58"/>
    <w:rsid w:val="00001BB4"/>
    <w:rsid w:val="00002021"/>
    <w:rsid w:val="000020DD"/>
    <w:rsid w:val="0000265A"/>
    <w:rsid w:val="00002702"/>
    <w:rsid w:val="000030AB"/>
    <w:rsid w:val="0000357C"/>
    <w:rsid w:val="0000370F"/>
    <w:rsid w:val="0000391D"/>
    <w:rsid w:val="000040F1"/>
    <w:rsid w:val="0000438F"/>
    <w:rsid w:val="0000440F"/>
    <w:rsid w:val="00005064"/>
    <w:rsid w:val="00005505"/>
    <w:rsid w:val="000057C7"/>
    <w:rsid w:val="0000620B"/>
    <w:rsid w:val="0000679E"/>
    <w:rsid w:val="0000684C"/>
    <w:rsid w:val="00006998"/>
    <w:rsid w:val="00006B12"/>
    <w:rsid w:val="00006CEA"/>
    <w:rsid w:val="00006DA3"/>
    <w:rsid w:val="0001010C"/>
    <w:rsid w:val="00010236"/>
    <w:rsid w:val="0001069A"/>
    <w:rsid w:val="000107F3"/>
    <w:rsid w:val="00011758"/>
    <w:rsid w:val="00011FD0"/>
    <w:rsid w:val="000123B7"/>
    <w:rsid w:val="00013124"/>
    <w:rsid w:val="00013290"/>
    <w:rsid w:val="00013A86"/>
    <w:rsid w:val="0001402F"/>
    <w:rsid w:val="0001427A"/>
    <w:rsid w:val="00014409"/>
    <w:rsid w:val="00014714"/>
    <w:rsid w:val="0001536B"/>
    <w:rsid w:val="00015378"/>
    <w:rsid w:val="000153B7"/>
    <w:rsid w:val="000155B1"/>
    <w:rsid w:val="00015921"/>
    <w:rsid w:val="00015A86"/>
    <w:rsid w:val="00015D32"/>
    <w:rsid w:val="0001669B"/>
    <w:rsid w:val="000166B2"/>
    <w:rsid w:val="00016A4D"/>
    <w:rsid w:val="00016D90"/>
    <w:rsid w:val="000173E2"/>
    <w:rsid w:val="000179C0"/>
    <w:rsid w:val="0002024D"/>
    <w:rsid w:val="00020354"/>
    <w:rsid w:val="0002051F"/>
    <w:rsid w:val="00020CFE"/>
    <w:rsid w:val="00020EA4"/>
    <w:rsid w:val="000215DA"/>
    <w:rsid w:val="00021667"/>
    <w:rsid w:val="0002173E"/>
    <w:rsid w:val="00021EC2"/>
    <w:rsid w:val="00021F7A"/>
    <w:rsid w:val="00022378"/>
    <w:rsid w:val="00023B50"/>
    <w:rsid w:val="00023DFC"/>
    <w:rsid w:val="000243F0"/>
    <w:rsid w:val="000246A9"/>
    <w:rsid w:val="00024701"/>
    <w:rsid w:val="00024778"/>
    <w:rsid w:val="000250F8"/>
    <w:rsid w:val="000252C3"/>
    <w:rsid w:val="000255C6"/>
    <w:rsid w:val="000260DD"/>
    <w:rsid w:val="000260FF"/>
    <w:rsid w:val="00026499"/>
    <w:rsid w:val="0002694D"/>
    <w:rsid w:val="00026D19"/>
    <w:rsid w:val="00026F4D"/>
    <w:rsid w:val="000271E2"/>
    <w:rsid w:val="00027481"/>
    <w:rsid w:val="000275B8"/>
    <w:rsid w:val="00027753"/>
    <w:rsid w:val="00027F1D"/>
    <w:rsid w:val="0003095E"/>
    <w:rsid w:val="00031BF9"/>
    <w:rsid w:val="000322DC"/>
    <w:rsid w:val="00032375"/>
    <w:rsid w:val="000324CC"/>
    <w:rsid w:val="000325B8"/>
    <w:rsid w:val="000336E7"/>
    <w:rsid w:val="00033FB8"/>
    <w:rsid w:val="000342A5"/>
    <w:rsid w:val="000347A8"/>
    <w:rsid w:val="00034C1A"/>
    <w:rsid w:val="00034E56"/>
    <w:rsid w:val="00035A9F"/>
    <w:rsid w:val="00035BA8"/>
    <w:rsid w:val="00035C93"/>
    <w:rsid w:val="00036091"/>
    <w:rsid w:val="0003633C"/>
    <w:rsid w:val="0003648A"/>
    <w:rsid w:val="000367F0"/>
    <w:rsid w:val="00036BF9"/>
    <w:rsid w:val="000371AB"/>
    <w:rsid w:val="0003728A"/>
    <w:rsid w:val="0003734F"/>
    <w:rsid w:val="00037420"/>
    <w:rsid w:val="00037BE5"/>
    <w:rsid w:val="00037EC6"/>
    <w:rsid w:val="00037ED1"/>
    <w:rsid w:val="00037FCD"/>
    <w:rsid w:val="0004026E"/>
    <w:rsid w:val="00040541"/>
    <w:rsid w:val="000405BC"/>
    <w:rsid w:val="000407F2"/>
    <w:rsid w:val="00040CE9"/>
    <w:rsid w:val="00040E05"/>
    <w:rsid w:val="000414A6"/>
    <w:rsid w:val="00041694"/>
    <w:rsid w:val="000420EB"/>
    <w:rsid w:val="00042361"/>
    <w:rsid w:val="00042CE9"/>
    <w:rsid w:val="00042E8B"/>
    <w:rsid w:val="00042F0C"/>
    <w:rsid w:val="0004330B"/>
    <w:rsid w:val="00043416"/>
    <w:rsid w:val="00043460"/>
    <w:rsid w:val="00043648"/>
    <w:rsid w:val="0004385A"/>
    <w:rsid w:val="00043A1E"/>
    <w:rsid w:val="000442FC"/>
    <w:rsid w:val="000446BE"/>
    <w:rsid w:val="00044BA7"/>
    <w:rsid w:val="00045544"/>
    <w:rsid w:val="00045699"/>
    <w:rsid w:val="000457FA"/>
    <w:rsid w:val="00045AAA"/>
    <w:rsid w:val="000461C4"/>
    <w:rsid w:val="000464E8"/>
    <w:rsid w:val="0004659F"/>
    <w:rsid w:val="00046C8F"/>
    <w:rsid w:val="00046FE4"/>
    <w:rsid w:val="000473F8"/>
    <w:rsid w:val="00047471"/>
    <w:rsid w:val="000509EF"/>
    <w:rsid w:val="00050E59"/>
    <w:rsid w:val="000514C5"/>
    <w:rsid w:val="00051846"/>
    <w:rsid w:val="00051B72"/>
    <w:rsid w:val="00051C69"/>
    <w:rsid w:val="00051E56"/>
    <w:rsid w:val="000520BB"/>
    <w:rsid w:val="000521C5"/>
    <w:rsid w:val="000527A8"/>
    <w:rsid w:val="00052D1D"/>
    <w:rsid w:val="00052F7E"/>
    <w:rsid w:val="00053038"/>
    <w:rsid w:val="000534A9"/>
    <w:rsid w:val="000535EF"/>
    <w:rsid w:val="0005366F"/>
    <w:rsid w:val="0005399C"/>
    <w:rsid w:val="00053EA0"/>
    <w:rsid w:val="00053FF1"/>
    <w:rsid w:val="00054280"/>
    <w:rsid w:val="000546AD"/>
    <w:rsid w:val="0005489A"/>
    <w:rsid w:val="00054983"/>
    <w:rsid w:val="00054C73"/>
    <w:rsid w:val="00054DBD"/>
    <w:rsid w:val="000551B9"/>
    <w:rsid w:val="000552D1"/>
    <w:rsid w:val="0005549B"/>
    <w:rsid w:val="000556A5"/>
    <w:rsid w:val="00055A73"/>
    <w:rsid w:val="00055E4A"/>
    <w:rsid w:val="00055EDD"/>
    <w:rsid w:val="000560CB"/>
    <w:rsid w:val="000562D8"/>
    <w:rsid w:val="00056320"/>
    <w:rsid w:val="00056925"/>
    <w:rsid w:val="00056974"/>
    <w:rsid w:val="00056FB3"/>
    <w:rsid w:val="000575F0"/>
    <w:rsid w:val="00057730"/>
    <w:rsid w:val="0005781B"/>
    <w:rsid w:val="00060F65"/>
    <w:rsid w:val="0006102A"/>
    <w:rsid w:val="0006117A"/>
    <w:rsid w:val="000611CA"/>
    <w:rsid w:val="0006144D"/>
    <w:rsid w:val="0006189D"/>
    <w:rsid w:val="00061970"/>
    <w:rsid w:val="00061EE7"/>
    <w:rsid w:val="00061FE7"/>
    <w:rsid w:val="00062E27"/>
    <w:rsid w:val="00062F51"/>
    <w:rsid w:val="00063B4D"/>
    <w:rsid w:val="00063BA8"/>
    <w:rsid w:val="00064D54"/>
    <w:rsid w:val="00065352"/>
    <w:rsid w:val="0006553F"/>
    <w:rsid w:val="000656F1"/>
    <w:rsid w:val="00065C34"/>
    <w:rsid w:val="00065DFD"/>
    <w:rsid w:val="00066056"/>
    <w:rsid w:val="000661BE"/>
    <w:rsid w:val="0006633F"/>
    <w:rsid w:val="00066C83"/>
    <w:rsid w:val="000670B4"/>
    <w:rsid w:val="000677F3"/>
    <w:rsid w:val="00067B05"/>
    <w:rsid w:val="00067D9C"/>
    <w:rsid w:val="00070058"/>
    <w:rsid w:val="00070166"/>
    <w:rsid w:val="000704F9"/>
    <w:rsid w:val="00070C66"/>
    <w:rsid w:val="000715A7"/>
    <w:rsid w:val="000718E5"/>
    <w:rsid w:val="000719D3"/>
    <w:rsid w:val="00071E65"/>
    <w:rsid w:val="00072003"/>
    <w:rsid w:val="0007287A"/>
    <w:rsid w:val="00072C6A"/>
    <w:rsid w:val="0007360E"/>
    <w:rsid w:val="0007365E"/>
    <w:rsid w:val="00073793"/>
    <w:rsid w:val="0007381A"/>
    <w:rsid w:val="000739A7"/>
    <w:rsid w:val="00073E05"/>
    <w:rsid w:val="000740E4"/>
    <w:rsid w:val="00074F47"/>
    <w:rsid w:val="00074FD3"/>
    <w:rsid w:val="00075139"/>
    <w:rsid w:val="0007530B"/>
    <w:rsid w:val="00075927"/>
    <w:rsid w:val="000762B0"/>
    <w:rsid w:val="000764A1"/>
    <w:rsid w:val="00076B98"/>
    <w:rsid w:val="00076BD8"/>
    <w:rsid w:val="000772B4"/>
    <w:rsid w:val="00077454"/>
    <w:rsid w:val="0007789D"/>
    <w:rsid w:val="000778FF"/>
    <w:rsid w:val="00077DBD"/>
    <w:rsid w:val="00077F9A"/>
    <w:rsid w:val="00080199"/>
    <w:rsid w:val="000802D5"/>
    <w:rsid w:val="00080B83"/>
    <w:rsid w:val="00080CAB"/>
    <w:rsid w:val="00080E6C"/>
    <w:rsid w:val="00081454"/>
    <w:rsid w:val="0008147E"/>
    <w:rsid w:val="00081D20"/>
    <w:rsid w:val="00081EDF"/>
    <w:rsid w:val="0008288B"/>
    <w:rsid w:val="00082978"/>
    <w:rsid w:val="00082D0C"/>
    <w:rsid w:val="00083250"/>
    <w:rsid w:val="00083339"/>
    <w:rsid w:val="00083424"/>
    <w:rsid w:val="0008358E"/>
    <w:rsid w:val="000836CE"/>
    <w:rsid w:val="000837B6"/>
    <w:rsid w:val="000838EB"/>
    <w:rsid w:val="00083BEF"/>
    <w:rsid w:val="00084144"/>
    <w:rsid w:val="00084D14"/>
    <w:rsid w:val="00085954"/>
    <w:rsid w:val="00085CF2"/>
    <w:rsid w:val="00085F60"/>
    <w:rsid w:val="000861B5"/>
    <w:rsid w:val="000863B6"/>
    <w:rsid w:val="00086846"/>
    <w:rsid w:val="00086BCC"/>
    <w:rsid w:val="00086F67"/>
    <w:rsid w:val="00087FF5"/>
    <w:rsid w:val="00090E40"/>
    <w:rsid w:val="000911E4"/>
    <w:rsid w:val="00091E73"/>
    <w:rsid w:val="00092483"/>
    <w:rsid w:val="00092F2E"/>
    <w:rsid w:val="000932E3"/>
    <w:rsid w:val="000934E0"/>
    <w:rsid w:val="0009351D"/>
    <w:rsid w:val="0009393B"/>
    <w:rsid w:val="00093CC9"/>
    <w:rsid w:val="00094120"/>
    <w:rsid w:val="000941EE"/>
    <w:rsid w:val="0009428A"/>
    <w:rsid w:val="0009442E"/>
    <w:rsid w:val="000947BE"/>
    <w:rsid w:val="0009488F"/>
    <w:rsid w:val="00094B02"/>
    <w:rsid w:val="00094C3B"/>
    <w:rsid w:val="00094C52"/>
    <w:rsid w:val="000955BA"/>
    <w:rsid w:val="00095CC0"/>
    <w:rsid w:val="00095D27"/>
    <w:rsid w:val="00095E1B"/>
    <w:rsid w:val="0009626D"/>
    <w:rsid w:val="0009663B"/>
    <w:rsid w:val="0009678E"/>
    <w:rsid w:val="000969E3"/>
    <w:rsid w:val="00096C7A"/>
    <w:rsid w:val="00097666"/>
    <w:rsid w:val="00097F0D"/>
    <w:rsid w:val="000A005D"/>
    <w:rsid w:val="000A0A35"/>
    <w:rsid w:val="000A13A9"/>
    <w:rsid w:val="000A143A"/>
    <w:rsid w:val="000A17C4"/>
    <w:rsid w:val="000A1942"/>
    <w:rsid w:val="000A2496"/>
    <w:rsid w:val="000A2768"/>
    <w:rsid w:val="000A27C4"/>
    <w:rsid w:val="000A3679"/>
    <w:rsid w:val="000A36A2"/>
    <w:rsid w:val="000A3A37"/>
    <w:rsid w:val="000A3D3F"/>
    <w:rsid w:val="000A4916"/>
    <w:rsid w:val="000A4FB8"/>
    <w:rsid w:val="000A54D4"/>
    <w:rsid w:val="000A5E2F"/>
    <w:rsid w:val="000A5E8D"/>
    <w:rsid w:val="000A60AA"/>
    <w:rsid w:val="000A642F"/>
    <w:rsid w:val="000A6570"/>
    <w:rsid w:val="000A6B6C"/>
    <w:rsid w:val="000A77E7"/>
    <w:rsid w:val="000A7B81"/>
    <w:rsid w:val="000A7B8E"/>
    <w:rsid w:val="000B0353"/>
    <w:rsid w:val="000B03F3"/>
    <w:rsid w:val="000B09E3"/>
    <w:rsid w:val="000B0F1B"/>
    <w:rsid w:val="000B1083"/>
    <w:rsid w:val="000B1234"/>
    <w:rsid w:val="000B1813"/>
    <w:rsid w:val="000B1C4F"/>
    <w:rsid w:val="000B219A"/>
    <w:rsid w:val="000B2362"/>
    <w:rsid w:val="000B2794"/>
    <w:rsid w:val="000B2A76"/>
    <w:rsid w:val="000B2B4D"/>
    <w:rsid w:val="000B2E39"/>
    <w:rsid w:val="000B30A9"/>
    <w:rsid w:val="000B3C65"/>
    <w:rsid w:val="000B48C9"/>
    <w:rsid w:val="000B5027"/>
    <w:rsid w:val="000B5668"/>
    <w:rsid w:val="000B56D2"/>
    <w:rsid w:val="000B5C27"/>
    <w:rsid w:val="000B6080"/>
    <w:rsid w:val="000B67A6"/>
    <w:rsid w:val="000B69C9"/>
    <w:rsid w:val="000B6F9F"/>
    <w:rsid w:val="000B72BB"/>
    <w:rsid w:val="000B72F0"/>
    <w:rsid w:val="000B7313"/>
    <w:rsid w:val="000B741B"/>
    <w:rsid w:val="000B770D"/>
    <w:rsid w:val="000B791C"/>
    <w:rsid w:val="000B7962"/>
    <w:rsid w:val="000B7A7D"/>
    <w:rsid w:val="000B7CF6"/>
    <w:rsid w:val="000B7D88"/>
    <w:rsid w:val="000B7EE9"/>
    <w:rsid w:val="000C0564"/>
    <w:rsid w:val="000C1099"/>
    <w:rsid w:val="000C13C2"/>
    <w:rsid w:val="000C1CA2"/>
    <w:rsid w:val="000C1CF6"/>
    <w:rsid w:val="000C1DB7"/>
    <w:rsid w:val="000C2075"/>
    <w:rsid w:val="000C212F"/>
    <w:rsid w:val="000C2315"/>
    <w:rsid w:val="000C23D3"/>
    <w:rsid w:val="000C244D"/>
    <w:rsid w:val="000C24CB"/>
    <w:rsid w:val="000C2774"/>
    <w:rsid w:val="000C2A22"/>
    <w:rsid w:val="000C2F6A"/>
    <w:rsid w:val="000C34B6"/>
    <w:rsid w:val="000C3528"/>
    <w:rsid w:val="000C382E"/>
    <w:rsid w:val="000C4D19"/>
    <w:rsid w:val="000C4D5D"/>
    <w:rsid w:val="000C5118"/>
    <w:rsid w:val="000C523E"/>
    <w:rsid w:val="000C5EBE"/>
    <w:rsid w:val="000C6077"/>
    <w:rsid w:val="000C64E5"/>
    <w:rsid w:val="000C6601"/>
    <w:rsid w:val="000C6F15"/>
    <w:rsid w:val="000C735D"/>
    <w:rsid w:val="000C74E4"/>
    <w:rsid w:val="000C798E"/>
    <w:rsid w:val="000D091B"/>
    <w:rsid w:val="000D0C00"/>
    <w:rsid w:val="000D10C3"/>
    <w:rsid w:val="000D1A7D"/>
    <w:rsid w:val="000D1F05"/>
    <w:rsid w:val="000D24AD"/>
    <w:rsid w:val="000D259E"/>
    <w:rsid w:val="000D25C0"/>
    <w:rsid w:val="000D2676"/>
    <w:rsid w:val="000D271F"/>
    <w:rsid w:val="000D2B25"/>
    <w:rsid w:val="000D301A"/>
    <w:rsid w:val="000D42FB"/>
    <w:rsid w:val="000D430F"/>
    <w:rsid w:val="000D45AA"/>
    <w:rsid w:val="000D4810"/>
    <w:rsid w:val="000D4D9A"/>
    <w:rsid w:val="000D5296"/>
    <w:rsid w:val="000D52DA"/>
    <w:rsid w:val="000D5A2F"/>
    <w:rsid w:val="000D5E6D"/>
    <w:rsid w:val="000D61BD"/>
    <w:rsid w:val="000D6706"/>
    <w:rsid w:val="000D69E6"/>
    <w:rsid w:val="000D6A96"/>
    <w:rsid w:val="000D6E18"/>
    <w:rsid w:val="000D7090"/>
    <w:rsid w:val="000D7502"/>
    <w:rsid w:val="000D79F6"/>
    <w:rsid w:val="000D7D59"/>
    <w:rsid w:val="000D7FAF"/>
    <w:rsid w:val="000E00A9"/>
    <w:rsid w:val="000E00C2"/>
    <w:rsid w:val="000E093C"/>
    <w:rsid w:val="000E0CE1"/>
    <w:rsid w:val="000E0CE4"/>
    <w:rsid w:val="000E0E41"/>
    <w:rsid w:val="000E0F25"/>
    <w:rsid w:val="000E16CD"/>
    <w:rsid w:val="000E1E16"/>
    <w:rsid w:val="000E208E"/>
    <w:rsid w:val="000E2871"/>
    <w:rsid w:val="000E2CE8"/>
    <w:rsid w:val="000E30D9"/>
    <w:rsid w:val="000E3175"/>
    <w:rsid w:val="000E31AC"/>
    <w:rsid w:val="000E349C"/>
    <w:rsid w:val="000E39D1"/>
    <w:rsid w:val="000E3B8D"/>
    <w:rsid w:val="000E40F6"/>
    <w:rsid w:val="000E44C9"/>
    <w:rsid w:val="000E455E"/>
    <w:rsid w:val="000E4593"/>
    <w:rsid w:val="000E49A6"/>
    <w:rsid w:val="000E4C0E"/>
    <w:rsid w:val="000E4FD0"/>
    <w:rsid w:val="000E501B"/>
    <w:rsid w:val="000E5306"/>
    <w:rsid w:val="000E5B38"/>
    <w:rsid w:val="000E635F"/>
    <w:rsid w:val="000E7025"/>
    <w:rsid w:val="000E7153"/>
    <w:rsid w:val="000E71C9"/>
    <w:rsid w:val="000E7F79"/>
    <w:rsid w:val="000F118B"/>
    <w:rsid w:val="000F18D0"/>
    <w:rsid w:val="000F1AA8"/>
    <w:rsid w:val="000F1B8D"/>
    <w:rsid w:val="000F1C9B"/>
    <w:rsid w:val="000F1D15"/>
    <w:rsid w:val="000F251B"/>
    <w:rsid w:val="000F254B"/>
    <w:rsid w:val="000F2962"/>
    <w:rsid w:val="000F34E2"/>
    <w:rsid w:val="000F3688"/>
    <w:rsid w:val="000F3781"/>
    <w:rsid w:val="000F3C12"/>
    <w:rsid w:val="000F3FE2"/>
    <w:rsid w:val="000F4436"/>
    <w:rsid w:val="000F4528"/>
    <w:rsid w:val="000F4581"/>
    <w:rsid w:val="000F47DF"/>
    <w:rsid w:val="000F485B"/>
    <w:rsid w:val="000F4DAD"/>
    <w:rsid w:val="000F5192"/>
    <w:rsid w:val="000F528C"/>
    <w:rsid w:val="000F556B"/>
    <w:rsid w:val="000F587B"/>
    <w:rsid w:val="000F5D7A"/>
    <w:rsid w:val="000F5E4C"/>
    <w:rsid w:val="000F6B98"/>
    <w:rsid w:val="000F73DB"/>
    <w:rsid w:val="000F7585"/>
    <w:rsid w:val="001002E5"/>
    <w:rsid w:val="00100498"/>
    <w:rsid w:val="001019FB"/>
    <w:rsid w:val="00101BE3"/>
    <w:rsid w:val="00101E2E"/>
    <w:rsid w:val="001022C4"/>
    <w:rsid w:val="0010247D"/>
    <w:rsid w:val="001027CF"/>
    <w:rsid w:val="00102868"/>
    <w:rsid w:val="00102A6A"/>
    <w:rsid w:val="00102B80"/>
    <w:rsid w:val="00102F35"/>
    <w:rsid w:val="001032B1"/>
    <w:rsid w:val="0010344B"/>
    <w:rsid w:val="001037A5"/>
    <w:rsid w:val="001039EC"/>
    <w:rsid w:val="00103E00"/>
    <w:rsid w:val="00104120"/>
    <w:rsid w:val="00104957"/>
    <w:rsid w:val="00104B11"/>
    <w:rsid w:val="00104B69"/>
    <w:rsid w:val="00104FA7"/>
    <w:rsid w:val="00105349"/>
    <w:rsid w:val="00105760"/>
    <w:rsid w:val="00105779"/>
    <w:rsid w:val="001059D3"/>
    <w:rsid w:val="00105A8A"/>
    <w:rsid w:val="00105CCB"/>
    <w:rsid w:val="00105E13"/>
    <w:rsid w:val="00105FE9"/>
    <w:rsid w:val="0010628A"/>
    <w:rsid w:val="00106305"/>
    <w:rsid w:val="00106331"/>
    <w:rsid w:val="0010650B"/>
    <w:rsid w:val="00106605"/>
    <w:rsid w:val="00106A0B"/>
    <w:rsid w:val="00106B4D"/>
    <w:rsid w:val="00106E41"/>
    <w:rsid w:val="001071C8"/>
    <w:rsid w:val="00107932"/>
    <w:rsid w:val="00110427"/>
    <w:rsid w:val="001104E5"/>
    <w:rsid w:val="00110859"/>
    <w:rsid w:val="00110B17"/>
    <w:rsid w:val="00110CAA"/>
    <w:rsid w:val="0011140D"/>
    <w:rsid w:val="0011181F"/>
    <w:rsid w:val="001118A7"/>
    <w:rsid w:val="00111B0D"/>
    <w:rsid w:val="00111F86"/>
    <w:rsid w:val="00112027"/>
    <w:rsid w:val="001124D5"/>
    <w:rsid w:val="00112F29"/>
    <w:rsid w:val="00112FEA"/>
    <w:rsid w:val="001134C5"/>
    <w:rsid w:val="00113ECF"/>
    <w:rsid w:val="00113F83"/>
    <w:rsid w:val="00113FE7"/>
    <w:rsid w:val="001141DC"/>
    <w:rsid w:val="001148BD"/>
    <w:rsid w:val="00114994"/>
    <w:rsid w:val="00114C38"/>
    <w:rsid w:val="00114D32"/>
    <w:rsid w:val="00114DE8"/>
    <w:rsid w:val="00114FC7"/>
    <w:rsid w:val="00115017"/>
    <w:rsid w:val="00115B8A"/>
    <w:rsid w:val="001162C9"/>
    <w:rsid w:val="00116565"/>
    <w:rsid w:val="00116D04"/>
    <w:rsid w:val="00117146"/>
    <w:rsid w:val="001179FD"/>
    <w:rsid w:val="00117A42"/>
    <w:rsid w:val="00117B32"/>
    <w:rsid w:val="0012009A"/>
    <w:rsid w:val="001201CD"/>
    <w:rsid w:val="001203C6"/>
    <w:rsid w:val="001208FD"/>
    <w:rsid w:val="00120B12"/>
    <w:rsid w:val="00120CE5"/>
    <w:rsid w:val="0012126A"/>
    <w:rsid w:val="001219DC"/>
    <w:rsid w:val="00121B59"/>
    <w:rsid w:val="00121EA2"/>
    <w:rsid w:val="00122732"/>
    <w:rsid w:val="001227C4"/>
    <w:rsid w:val="00122C44"/>
    <w:rsid w:val="00122D60"/>
    <w:rsid w:val="001238D7"/>
    <w:rsid w:val="00123D86"/>
    <w:rsid w:val="0012421F"/>
    <w:rsid w:val="0012426A"/>
    <w:rsid w:val="00124647"/>
    <w:rsid w:val="001246E8"/>
    <w:rsid w:val="001247A8"/>
    <w:rsid w:val="0012529D"/>
    <w:rsid w:val="001253EA"/>
    <w:rsid w:val="00125467"/>
    <w:rsid w:val="00125A31"/>
    <w:rsid w:val="0012621E"/>
    <w:rsid w:val="00126421"/>
    <w:rsid w:val="00126E56"/>
    <w:rsid w:val="0012741E"/>
    <w:rsid w:val="001274F5"/>
    <w:rsid w:val="00127BD3"/>
    <w:rsid w:val="00127EEA"/>
    <w:rsid w:val="00130327"/>
    <w:rsid w:val="0013041F"/>
    <w:rsid w:val="00130724"/>
    <w:rsid w:val="00130A52"/>
    <w:rsid w:val="00130AC8"/>
    <w:rsid w:val="00130F78"/>
    <w:rsid w:val="00130F9F"/>
    <w:rsid w:val="0013107E"/>
    <w:rsid w:val="00131304"/>
    <w:rsid w:val="00131670"/>
    <w:rsid w:val="00131841"/>
    <w:rsid w:val="00131A2A"/>
    <w:rsid w:val="00131BA4"/>
    <w:rsid w:val="00131C57"/>
    <w:rsid w:val="00131DF3"/>
    <w:rsid w:val="00132B1D"/>
    <w:rsid w:val="00132BBB"/>
    <w:rsid w:val="00132E91"/>
    <w:rsid w:val="00132FF3"/>
    <w:rsid w:val="00133287"/>
    <w:rsid w:val="0013358C"/>
    <w:rsid w:val="00133626"/>
    <w:rsid w:val="00133788"/>
    <w:rsid w:val="001339F0"/>
    <w:rsid w:val="00133A15"/>
    <w:rsid w:val="00133CF0"/>
    <w:rsid w:val="00133D36"/>
    <w:rsid w:val="001342F3"/>
    <w:rsid w:val="0013477A"/>
    <w:rsid w:val="00134A43"/>
    <w:rsid w:val="00134B0B"/>
    <w:rsid w:val="00134E44"/>
    <w:rsid w:val="001350D9"/>
    <w:rsid w:val="001356AB"/>
    <w:rsid w:val="0013574C"/>
    <w:rsid w:val="0013587E"/>
    <w:rsid w:val="00136B3C"/>
    <w:rsid w:val="00136B8E"/>
    <w:rsid w:val="00136D2F"/>
    <w:rsid w:val="00136E8F"/>
    <w:rsid w:val="0013777C"/>
    <w:rsid w:val="001377D1"/>
    <w:rsid w:val="00137F5D"/>
    <w:rsid w:val="0014038E"/>
    <w:rsid w:val="00140826"/>
    <w:rsid w:val="001410A3"/>
    <w:rsid w:val="00141185"/>
    <w:rsid w:val="00141199"/>
    <w:rsid w:val="00141223"/>
    <w:rsid w:val="001428EB"/>
    <w:rsid w:val="00142957"/>
    <w:rsid w:val="00143034"/>
    <w:rsid w:val="00143320"/>
    <w:rsid w:val="0014368B"/>
    <w:rsid w:val="00144296"/>
    <w:rsid w:val="001442A1"/>
    <w:rsid w:val="00144715"/>
    <w:rsid w:val="001448A7"/>
    <w:rsid w:val="00145050"/>
    <w:rsid w:val="00145161"/>
    <w:rsid w:val="001455D3"/>
    <w:rsid w:val="00145614"/>
    <w:rsid w:val="00145D75"/>
    <w:rsid w:val="00146014"/>
    <w:rsid w:val="00146133"/>
    <w:rsid w:val="001463A5"/>
    <w:rsid w:val="0014645F"/>
    <w:rsid w:val="00146C0A"/>
    <w:rsid w:val="00146C78"/>
    <w:rsid w:val="00146DC6"/>
    <w:rsid w:val="00147532"/>
    <w:rsid w:val="001475FF"/>
    <w:rsid w:val="00147768"/>
    <w:rsid w:val="0014788F"/>
    <w:rsid w:val="00147F7A"/>
    <w:rsid w:val="00150175"/>
    <w:rsid w:val="0015028D"/>
    <w:rsid w:val="001505C4"/>
    <w:rsid w:val="00150823"/>
    <w:rsid w:val="001508B1"/>
    <w:rsid w:val="001508F2"/>
    <w:rsid w:val="00150C88"/>
    <w:rsid w:val="0015124E"/>
    <w:rsid w:val="0015138D"/>
    <w:rsid w:val="001515B2"/>
    <w:rsid w:val="001515E1"/>
    <w:rsid w:val="001518B5"/>
    <w:rsid w:val="001518C8"/>
    <w:rsid w:val="0015211D"/>
    <w:rsid w:val="00152416"/>
    <w:rsid w:val="001526CA"/>
    <w:rsid w:val="0015271B"/>
    <w:rsid w:val="001527BD"/>
    <w:rsid w:val="00152807"/>
    <w:rsid w:val="00152F1E"/>
    <w:rsid w:val="00152F2E"/>
    <w:rsid w:val="00152F63"/>
    <w:rsid w:val="001534AC"/>
    <w:rsid w:val="0015426B"/>
    <w:rsid w:val="001545FB"/>
    <w:rsid w:val="00154896"/>
    <w:rsid w:val="001548F2"/>
    <w:rsid w:val="00154956"/>
    <w:rsid w:val="00154CE6"/>
    <w:rsid w:val="001552EC"/>
    <w:rsid w:val="00155D3B"/>
    <w:rsid w:val="00155E6D"/>
    <w:rsid w:val="0015621B"/>
    <w:rsid w:val="00156BB6"/>
    <w:rsid w:val="00156D23"/>
    <w:rsid w:val="00157045"/>
    <w:rsid w:val="0015730A"/>
    <w:rsid w:val="00157938"/>
    <w:rsid w:val="00157A29"/>
    <w:rsid w:val="00157E9C"/>
    <w:rsid w:val="001608F2"/>
    <w:rsid w:val="00160B48"/>
    <w:rsid w:val="00160B66"/>
    <w:rsid w:val="00160CA9"/>
    <w:rsid w:val="00161114"/>
    <w:rsid w:val="001619EA"/>
    <w:rsid w:val="00161C38"/>
    <w:rsid w:val="00161D24"/>
    <w:rsid w:val="00162878"/>
    <w:rsid w:val="001628F9"/>
    <w:rsid w:val="00162ACA"/>
    <w:rsid w:val="00162DCB"/>
    <w:rsid w:val="00162F82"/>
    <w:rsid w:val="001635C0"/>
    <w:rsid w:val="001638C2"/>
    <w:rsid w:val="00163F96"/>
    <w:rsid w:val="001643C6"/>
    <w:rsid w:val="00164417"/>
    <w:rsid w:val="00164A70"/>
    <w:rsid w:val="00164F74"/>
    <w:rsid w:val="00164FCC"/>
    <w:rsid w:val="001653EF"/>
    <w:rsid w:val="00165453"/>
    <w:rsid w:val="0016583F"/>
    <w:rsid w:val="0016594E"/>
    <w:rsid w:val="00165D79"/>
    <w:rsid w:val="001672B0"/>
    <w:rsid w:val="001673EA"/>
    <w:rsid w:val="0016752B"/>
    <w:rsid w:val="001679F2"/>
    <w:rsid w:val="00167AC6"/>
    <w:rsid w:val="00167D43"/>
    <w:rsid w:val="00170C72"/>
    <w:rsid w:val="00170DE0"/>
    <w:rsid w:val="0017111D"/>
    <w:rsid w:val="00171317"/>
    <w:rsid w:val="001716C5"/>
    <w:rsid w:val="0017210A"/>
    <w:rsid w:val="0017229B"/>
    <w:rsid w:val="001725B9"/>
    <w:rsid w:val="001727FF"/>
    <w:rsid w:val="00172902"/>
    <w:rsid w:val="00172B59"/>
    <w:rsid w:val="001733F5"/>
    <w:rsid w:val="00173497"/>
    <w:rsid w:val="001734ED"/>
    <w:rsid w:val="0017392D"/>
    <w:rsid w:val="00173E24"/>
    <w:rsid w:val="00174267"/>
    <w:rsid w:val="001742A5"/>
    <w:rsid w:val="001742CD"/>
    <w:rsid w:val="001744BA"/>
    <w:rsid w:val="001744FC"/>
    <w:rsid w:val="00174A95"/>
    <w:rsid w:val="00174D0C"/>
    <w:rsid w:val="00174DA3"/>
    <w:rsid w:val="00175231"/>
    <w:rsid w:val="0017534E"/>
    <w:rsid w:val="00175B16"/>
    <w:rsid w:val="00175E4E"/>
    <w:rsid w:val="00175FE8"/>
    <w:rsid w:val="00176544"/>
    <w:rsid w:val="00176B17"/>
    <w:rsid w:val="001772A3"/>
    <w:rsid w:val="00177513"/>
    <w:rsid w:val="00177761"/>
    <w:rsid w:val="00177C02"/>
    <w:rsid w:val="0018024D"/>
    <w:rsid w:val="00180532"/>
    <w:rsid w:val="00180A83"/>
    <w:rsid w:val="00180F56"/>
    <w:rsid w:val="001814CF"/>
    <w:rsid w:val="0018168C"/>
    <w:rsid w:val="0018186E"/>
    <w:rsid w:val="001820FC"/>
    <w:rsid w:val="00182135"/>
    <w:rsid w:val="00182382"/>
    <w:rsid w:val="0018247B"/>
    <w:rsid w:val="0018289F"/>
    <w:rsid w:val="00182F5C"/>
    <w:rsid w:val="00183E13"/>
    <w:rsid w:val="00184344"/>
    <w:rsid w:val="0018437B"/>
    <w:rsid w:val="00184A93"/>
    <w:rsid w:val="00184B50"/>
    <w:rsid w:val="00184C2A"/>
    <w:rsid w:val="00184D6A"/>
    <w:rsid w:val="001850A7"/>
    <w:rsid w:val="001853A7"/>
    <w:rsid w:val="001855A2"/>
    <w:rsid w:val="0018565E"/>
    <w:rsid w:val="00185847"/>
    <w:rsid w:val="001858EF"/>
    <w:rsid w:val="00185A47"/>
    <w:rsid w:val="00185D3B"/>
    <w:rsid w:val="00185D6F"/>
    <w:rsid w:val="00186233"/>
    <w:rsid w:val="00186260"/>
    <w:rsid w:val="001866D5"/>
    <w:rsid w:val="00186A04"/>
    <w:rsid w:val="00187039"/>
    <w:rsid w:val="00187308"/>
    <w:rsid w:val="00187471"/>
    <w:rsid w:val="00187801"/>
    <w:rsid w:val="00187B1C"/>
    <w:rsid w:val="00187F0D"/>
    <w:rsid w:val="0019032C"/>
    <w:rsid w:val="00190BBD"/>
    <w:rsid w:val="00190F94"/>
    <w:rsid w:val="001917C8"/>
    <w:rsid w:val="00191EE8"/>
    <w:rsid w:val="00191FC1"/>
    <w:rsid w:val="00192720"/>
    <w:rsid w:val="00192B39"/>
    <w:rsid w:val="00192EA9"/>
    <w:rsid w:val="00193327"/>
    <w:rsid w:val="001937F2"/>
    <w:rsid w:val="001938A1"/>
    <w:rsid w:val="00193A08"/>
    <w:rsid w:val="00193DA5"/>
    <w:rsid w:val="00193EC6"/>
    <w:rsid w:val="00193F4F"/>
    <w:rsid w:val="00194036"/>
    <w:rsid w:val="00194D0A"/>
    <w:rsid w:val="00194F34"/>
    <w:rsid w:val="001950E0"/>
    <w:rsid w:val="001954DA"/>
    <w:rsid w:val="00195546"/>
    <w:rsid w:val="0019578B"/>
    <w:rsid w:val="00195A74"/>
    <w:rsid w:val="00195D26"/>
    <w:rsid w:val="00196065"/>
    <w:rsid w:val="00196549"/>
    <w:rsid w:val="00197184"/>
    <w:rsid w:val="00197319"/>
    <w:rsid w:val="0019731E"/>
    <w:rsid w:val="00197751"/>
    <w:rsid w:val="00197A92"/>
    <w:rsid w:val="00197D97"/>
    <w:rsid w:val="00197E2E"/>
    <w:rsid w:val="001A0257"/>
    <w:rsid w:val="001A0A02"/>
    <w:rsid w:val="001A0A78"/>
    <w:rsid w:val="001A0B44"/>
    <w:rsid w:val="001A116A"/>
    <w:rsid w:val="001A15F5"/>
    <w:rsid w:val="001A171D"/>
    <w:rsid w:val="001A253A"/>
    <w:rsid w:val="001A2D4E"/>
    <w:rsid w:val="001A2EB5"/>
    <w:rsid w:val="001A2F61"/>
    <w:rsid w:val="001A35A9"/>
    <w:rsid w:val="001A3D1A"/>
    <w:rsid w:val="001A4000"/>
    <w:rsid w:val="001A4D36"/>
    <w:rsid w:val="001A5721"/>
    <w:rsid w:val="001A60F3"/>
    <w:rsid w:val="001A6363"/>
    <w:rsid w:val="001A65E1"/>
    <w:rsid w:val="001A65F3"/>
    <w:rsid w:val="001A6766"/>
    <w:rsid w:val="001A689F"/>
    <w:rsid w:val="001A6987"/>
    <w:rsid w:val="001A6AB4"/>
    <w:rsid w:val="001A6FA5"/>
    <w:rsid w:val="001A7466"/>
    <w:rsid w:val="001A79D0"/>
    <w:rsid w:val="001A7EFD"/>
    <w:rsid w:val="001B0349"/>
    <w:rsid w:val="001B03B1"/>
    <w:rsid w:val="001B083C"/>
    <w:rsid w:val="001B086E"/>
    <w:rsid w:val="001B0D7E"/>
    <w:rsid w:val="001B0F55"/>
    <w:rsid w:val="001B1863"/>
    <w:rsid w:val="001B1CE5"/>
    <w:rsid w:val="001B21BC"/>
    <w:rsid w:val="001B253D"/>
    <w:rsid w:val="001B26A3"/>
    <w:rsid w:val="001B2E5A"/>
    <w:rsid w:val="001B2F11"/>
    <w:rsid w:val="001B3CD1"/>
    <w:rsid w:val="001B4279"/>
    <w:rsid w:val="001B4525"/>
    <w:rsid w:val="001B524D"/>
    <w:rsid w:val="001B56E0"/>
    <w:rsid w:val="001B5D73"/>
    <w:rsid w:val="001B645C"/>
    <w:rsid w:val="001B6526"/>
    <w:rsid w:val="001B6773"/>
    <w:rsid w:val="001B682F"/>
    <w:rsid w:val="001B76BD"/>
    <w:rsid w:val="001B79EB"/>
    <w:rsid w:val="001C04ED"/>
    <w:rsid w:val="001C0885"/>
    <w:rsid w:val="001C0BB6"/>
    <w:rsid w:val="001C0D9B"/>
    <w:rsid w:val="001C1129"/>
    <w:rsid w:val="001C1A02"/>
    <w:rsid w:val="001C1A0B"/>
    <w:rsid w:val="001C1C88"/>
    <w:rsid w:val="001C2224"/>
    <w:rsid w:val="001C24B9"/>
    <w:rsid w:val="001C2CDB"/>
    <w:rsid w:val="001C343E"/>
    <w:rsid w:val="001C35FD"/>
    <w:rsid w:val="001C383D"/>
    <w:rsid w:val="001C3DE0"/>
    <w:rsid w:val="001C3E50"/>
    <w:rsid w:val="001C3F26"/>
    <w:rsid w:val="001C40CE"/>
    <w:rsid w:val="001C420F"/>
    <w:rsid w:val="001C441B"/>
    <w:rsid w:val="001C4591"/>
    <w:rsid w:val="001C4777"/>
    <w:rsid w:val="001C4A8A"/>
    <w:rsid w:val="001C4FAA"/>
    <w:rsid w:val="001C53AD"/>
    <w:rsid w:val="001C5452"/>
    <w:rsid w:val="001C550F"/>
    <w:rsid w:val="001C555B"/>
    <w:rsid w:val="001C59BE"/>
    <w:rsid w:val="001C5D4D"/>
    <w:rsid w:val="001C5E16"/>
    <w:rsid w:val="001C5E64"/>
    <w:rsid w:val="001C60F6"/>
    <w:rsid w:val="001C6109"/>
    <w:rsid w:val="001C6FD6"/>
    <w:rsid w:val="001C7734"/>
    <w:rsid w:val="001C7A30"/>
    <w:rsid w:val="001D033C"/>
    <w:rsid w:val="001D0520"/>
    <w:rsid w:val="001D05AD"/>
    <w:rsid w:val="001D0A6E"/>
    <w:rsid w:val="001D15B1"/>
    <w:rsid w:val="001D16A8"/>
    <w:rsid w:val="001D1AD1"/>
    <w:rsid w:val="001D1D76"/>
    <w:rsid w:val="001D22C0"/>
    <w:rsid w:val="001D2920"/>
    <w:rsid w:val="001D2A8D"/>
    <w:rsid w:val="001D331F"/>
    <w:rsid w:val="001D3982"/>
    <w:rsid w:val="001D3D1B"/>
    <w:rsid w:val="001D3F6A"/>
    <w:rsid w:val="001D498A"/>
    <w:rsid w:val="001D4CAF"/>
    <w:rsid w:val="001D51C3"/>
    <w:rsid w:val="001D577A"/>
    <w:rsid w:val="001D5B63"/>
    <w:rsid w:val="001D66F5"/>
    <w:rsid w:val="001D6A81"/>
    <w:rsid w:val="001D6BB6"/>
    <w:rsid w:val="001D6D09"/>
    <w:rsid w:val="001D6F40"/>
    <w:rsid w:val="001D7B74"/>
    <w:rsid w:val="001E0442"/>
    <w:rsid w:val="001E0E5C"/>
    <w:rsid w:val="001E192D"/>
    <w:rsid w:val="001E1952"/>
    <w:rsid w:val="001E2399"/>
    <w:rsid w:val="001E254A"/>
    <w:rsid w:val="001E2D05"/>
    <w:rsid w:val="001E2E12"/>
    <w:rsid w:val="001E2F7B"/>
    <w:rsid w:val="001E3455"/>
    <w:rsid w:val="001E353F"/>
    <w:rsid w:val="001E3657"/>
    <w:rsid w:val="001E3718"/>
    <w:rsid w:val="001E3D67"/>
    <w:rsid w:val="001E42E7"/>
    <w:rsid w:val="001E47F3"/>
    <w:rsid w:val="001E4914"/>
    <w:rsid w:val="001E4D03"/>
    <w:rsid w:val="001E502B"/>
    <w:rsid w:val="001E539F"/>
    <w:rsid w:val="001E5535"/>
    <w:rsid w:val="001E5A22"/>
    <w:rsid w:val="001E5D4C"/>
    <w:rsid w:val="001E611A"/>
    <w:rsid w:val="001E69BA"/>
    <w:rsid w:val="001E6E10"/>
    <w:rsid w:val="001E6EC3"/>
    <w:rsid w:val="001E7066"/>
    <w:rsid w:val="001E73F9"/>
    <w:rsid w:val="001E76E6"/>
    <w:rsid w:val="001E7838"/>
    <w:rsid w:val="001E7B5B"/>
    <w:rsid w:val="001E7D53"/>
    <w:rsid w:val="001E7EC9"/>
    <w:rsid w:val="001F0554"/>
    <w:rsid w:val="001F0B34"/>
    <w:rsid w:val="001F0BD8"/>
    <w:rsid w:val="001F141D"/>
    <w:rsid w:val="001F1B79"/>
    <w:rsid w:val="001F1CC8"/>
    <w:rsid w:val="001F1F08"/>
    <w:rsid w:val="001F2198"/>
    <w:rsid w:val="001F21DD"/>
    <w:rsid w:val="001F23FA"/>
    <w:rsid w:val="001F2A7C"/>
    <w:rsid w:val="001F2B71"/>
    <w:rsid w:val="001F2DCC"/>
    <w:rsid w:val="001F3033"/>
    <w:rsid w:val="001F3635"/>
    <w:rsid w:val="001F38B7"/>
    <w:rsid w:val="001F3902"/>
    <w:rsid w:val="001F3A08"/>
    <w:rsid w:val="001F3D59"/>
    <w:rsid w:val="001F3DEB"/>
    <w:rsid w:val="001F3F5A"/>
    <w:rsid w:val="001F4507"/>
    <w:rsid w:val="001F4CA5"/>
    <w:rsid w:val="001F4F24"/>
    <w:rsid w:val="001F5115"/>
    <w:rsid w:val="001F56F4"/>
    <w:rsid w:val="001F591B"/>
    <w:rsid w:val="001F59BE"/>
    <w:rsid w:val="001F5A4F"/>
    <w:rsid w:val="001F5C0D"/>
    <w:rsid w:val="001F5DD8"/>
    <w:rsid w:val="001F62A4"/>
    <w:rsid w:val="001F66CC"/>
    <w:rsid w:val="001F6D1E"/>
    <w:rsid w:val="001F6D6F"/>
    <w:rsid w:val="001F6ED5"/>
    <w:rsid w:val="001F7421"/>
    <w:rsid w:val="001F74E0"/>
    <w:rsid w:val="001F7813"/>
    <w:rsid w:val="001F7B6C"/>
    <w:rsid w:val="001F7FC4"/>
    <w:rsid w:val="0020008E"/>
    <w:rsid w:val="002001B8"/>
    <w:rsid w:val="00200533"/>
    <w:rsid w:val="00200C76"/>
    <w:rsid w:val="00200D91"/>
    <w:rsid w:val="0020124C"/>
    <w:rsid w:val="00202A9C"/>
    <w:rsid w:val="00202C48"/>
    <w:rsid w:val="00203089"/>
    <w:rsid w:val="002034A2"/>
    <w:rsid w:val="002035F3"/>
    <w:rsid w:val="00203AE2"/>
    <w:rsid w:val="002042C8"/>
    <w:rsid w:val="00204504"/>
    <w:rsid w:val="00204BE8"/>
    <w:rsid w:val="00204CA9"/>
    <w:rsid w:val="0020501F"/>
    <w:rsid w:val="00205097"/>
    <w:rsid w:val="002050DD"/>
    <w:rsid w:val="0020521A"/>
    <w:rsid w:val="00205FD8"/>
    <w:rsid w:val="00206093"/>
    <w:rsid w:val="00206443"/>
    <w:rsid w:val="00206729"/>
    <w:rsid w:val="00206839"/>
    <w:rsid w:val="002069BA"/>
    <w:rsid w:val="00206B6C"/>
    <w:rsid w:val="00206F37"/>
    <w:rsid w:val="0020785E"/>
    <w:rsid w:val="00210EE4"/>
    <w:rsid w:val="00211688"/>
    <w:rsid w:val="00211A42"/>
    <w:rsid w:val="00211CD4"/>
    <w:rsid w:val="00211F73"/>
    <w:rsid w:val="002120FA"/>
    <w:rsid w:val="002123A9"/>
    <w:rsid w:val="0021247F"/>
    <w:rsid w:val="002124F4"/>
    <w:rsid w:val="00212C8F"/>
    <w:rsid w:val="00212F3D"/>
    <w:rsid w:val="00213611"/>
    <w:rsid w:val="00213A6F"/>
    <w:rsid w:val="00213C65"/>
    <w:rsid w:val="002144F0"/>
    <w:rsid w:val="00214D0D"/>
    <w:rsid w:val="00214E3D"/>
    <w:rsid w:val="00215339"/>
    <w:rsid w:val="00215AA3"/>
    <w:rsid w:val="00215EFF"/>
    <w:rsid w:val="00216083"/>
    <w:rsid w:val="00216979"/>
    <w:rsid w:val="00216CFD"/>
    <w:rsid w:val="002172C5"/>
    <w:rsid w:val="00217367"/>
    <w:rsid w:val="0021742E"/>
    <w:rsid w:val="00217949"/>
    <w:rsid w:val="00217ED6"/>
    <w:rsid w:val="00220455"/>
    <w:rsid w:val="002207E4"/>
    <w:rsid w:val="002209A1"/>
    <w:rsid w:val="00220E23"/>
    <w:rsid w:val="0022145A"/>
    <w:rsid w:val="0022163A"/>
    <w:rsid w:val="002225E6"/>
    <w:rsid w:val="0022271F"/>
    <w:rsid w:val="00222745"/>
    <w:rsid w:val="00222AC2"/>
    <w:rsid w:val="00223118"/>
    <w:rsid w:val="00223213"/>
    <w:rsid w:val="00223712"/>
    <w:rsid w:val="002239B8"/>
    <w:rsid w:val="00223B01"/>
    <w:rsid w:val="00223BC6"/>
    <w:rsid w:val="00223C19"/>
    <w:rsid w:val="00223CCB"/>
    <w:rsid w:val="00223D65"/>
    <w:rsid w:val="00224065"/>
    <w:rsid w:val="0022433D"/>
    <w:rsid w:val="002243E1"/>
    <w:rsid w:val="00224400"/>
    <w:rsid w:val="002247CB"/>
    <w:rsid w:val="00224B86"/>
    <w:rsid w:val="002253AA"/>
    <w:rsid w:val="002256AC"/>
    <w:rsid w:val="00225A77"/>
    <w:rsid w:val="002260B4"/>
    <w:rsid w:val="0022640B"/>
    <w:rsid w:val="002264F9"/>
    <w:rsid w:val="002273E6"/>
    <w:rsid w:val="00227A83"/>
    <w:rsid w:val="00227AEB"/>
    <w:rsid w:val="002307EA"/>
    <w:rsid w:val="00230E95"/>
    <w:rsid w:val="00231507"/>
    <w:rsid w:val="0023179E"/>
    <w:rsid w:val="00231B46"/>
    <w:rsid w:val="00231D09"/>
    <w:rsid w:val="00232375"/>
    <w:rsid w:val="002324B6"/>
    <w:rsid w:val="0023257F"/>
    <w:rsid w:val="00232D59"/>
    <w:rsid w:val="00233402"/>
    <w:rsid w:val="0023357B"/>
    <w:rsid w:val="002337A5"/>
    <w:rsid w:val="00233A46"/>
    <w:rsid w:val="00233D70"/>
    <w:rsid w:val="00233FD1"/>
    <w:rsid w:val="002343CA"/>
    <w:rsid w:val="0023489A"/>
    <w:rsid w:val="00235329"/>
    <w:rsid w:val="00235F5B"/>
    <w:rsid w:val="002364C4"/>
    <w:rsid w:val="00236512"/>
    <w:rsid w:val="0023664E"/>
    <w:rsid w:val="002367A9"/>
    <w:rsid w:val="00237096"/>
    <w:rsid w:val="002370B5"/>
    <w:rsid w:val="00237370"/>
    <w:rsid w:val="00237667"/>
    <w:rsid w:val="002400AD"/>
    <w:rsid w:val="00240856"/>
    <w:rsid w:val="002409C5"/>
    <w:rsid w:val="00240A81"/>
    <w:rsid w:val="00240F1E"/>
    <w:rsid w:val="00241586"/>
    <w:rsid w:val="0024199C"/>
    <w:rsid w:val="0024201A"/>
    <w:rsid w:val="00242070"/>
    <w:rsid w:val="0024242E"/>
    <w:rsid w:val="0024257B"/>
    <w:rsid w:val="002425D3"/>
    <w:rsid w:val="002429F2"/>
    <w:rsid w:val="0024464C"/>
    <w:rsid w:val="002449F0"/>
    <w:rsid w:val="00244AA3"/>
    <w:rsid w:val="00244AC9"/>
    <w:rsid w:val="00244AF9"/>
    <w:rsid w:val="00244C3F"/>
    <w:rsid w:val="00244E85"/>
    <w:rsid w:val="002454C4"/>
    <w:rsid w:val="00245D8F"/>
    <w:rsid w:val="0024633A"/>
    <w:rsid w:val="00246E01"/>
    <w:rsid w:val="00247085"/>
    <w:rsid w:val="00247176"/>
    <w:rsid w:val="00247669"/>
    <w:rsid w:val="002478D6"/>
    <w:rsid w:val="00247AD2"/>
    <w:rsid w:val="00247E26"/>
    <w:rsid w:val="002506E2"/>
    <w:rsid w:val="0025152D"/>
    <w:rsid w:val="002522BF"/>
    <w:rsid w:val="002525B8"/>
    <w:rsid w:val="0025264E"/>
    <w:rsid w:val="0025284F"/>
    <w:rsid w:val="00252BCF"/>
    <w:rsid w:val="00253150"/>
    <w:rsid w:val="002533E0"/>
    <w:rsid w:val="00254C4A"/>
    <w:rsid w:val="002551CE"/>
    <w:rsid w:val="002555A9"/>
    <w:rsid w:val="00255769"/>
    <w:rsid w:val="00255F92"/>
    <w:rsid w:val="002563A9"/>
    <w:rsid w:val="002570BD"/>
    <w:rsid w:val="00257304"/>
    <w:rsid w:val="0025797A"/>
    <w:rsid w:val="002600C3"/>
    <w:rsid w:val="0026013E"/>
    <w:rsid w:val="0026020E"/>
    <w:rsid w:val="002603BB"/>
    <w:rsid w:val="00260949"/>
    <w:rsid w:val="00260F50"/>
    <w:rsid w:val="00260F5C"/>
    <w:rsid w:val="0026119D"/>
    <w:rsid w:val="0026135E"/>
    <w:rsid w:val="0026141E"/>
    <w:rsid w:val="00261626"/>
    <w:rsid w:val="00261706"/>
    <w:rsid w:val="0026189B"/>
    <w:rsid w:val="00261B2F"/>
    <w:rsid w:val="00261F40"/>
    <w:rsid w:val="00262224"/>
    <w:rsid w:val="00262597"/>
    <w:rsid w:val="00262886"/>
    <w:rsid w:val="00262889"/>
    <w:rsid w:val="00262901"/>
    <w:rsid w:val="00262BE2"/>
    <w:rsid w:val="00262F0F"/>
    <w:rsid w:val="00262F5D"/>
    <w:rsid w:val="00263312"/>
    <w:rsid w:val="00264407"/>
    <w:rsid w:val="00264649"/>
    <w:rsid w:val="002649A9"/>
    <w:rsid w:val="00264BFC"/>
    <w:rsid w:val="00265738"/>
    <w:rsid w:val="00265CED"/>
    <w:rsid w:val="002668FB"/>
    <w:rsid w:val="00266C37"/>
    <w:rsid w:val="00266FD0"/>
    <w:rsid w:val="00267056"/>
    <w:rsid w:val="00267573"/>
    <w:rsid w:val="002677D7"/>
    <w:rsid w:val="00267A3C"/>
    <w:rsid w:val="00267E28"/>
    <w:rsid w:val="002700F7"/>
    <w:rsid w:val="00271090"/>
    <w:rsid w:val="00271280"/>
    <w:rsid w:val="00271968"/>
    <w:rsid w:val="00271CC9"/>
    <w:rsid w:val="00272073"/>
    <w:rsid w:val="002723AE"/>
    <w:rsid w:val="0027268F"/>
    <w:rsid w:val="00272773"/>
    <w:rsid w:val="00272F16"/>
    <w:rsid w:val="00272FBF"/>
    <w:rsid w:val="00273053"/>
    <w:rsid w:val="00273670"/>
    <w:rsid w:val="00273693"/>
    <w:rsid w:val="002737E8"/>
    <w:rsid w:val="0027420B"/>
    <w:rsid w:val="0027443A"/>
    <w:rsid w:val="002748D0"/>
    <w:rsid w:val="00274AC9"/>
    <w:rsid w:val="00274B43"/>
    <w:rsid w:val="00274D97"/>
    <w:rsid w:val="00274DB6"/>
    <w:rsid w:val="002754E4"/>
    <w:rsid w:val="00275840"/>
    <w:rsid w:val="00275986"/>
    <w:rsid w:val="00275988"/>
    <w:rsid w:val="00275DD4"/>
    <w:rsid w:val="0027646B"/>
    <w:rsid w:val="0027695D"/>
    <w:rsid w:val="00276C7B"/>
    <w:rsid w:val="00276D53"/>
    <w:rsid w:val="00276E38"/>
    <w:rsid w:val="00276EF3"/>
    <w:rsid w:val="00277604"/>
    <w:rsid w:val="00277809"/>
    <w:rsid w:val="002778D0"/>
    <w:rsid w:val="00277980"/>
    <w:rsid w:val="002779A1"/>
    <w:rsid w:val="00277B59"/>
    <w:rsid w:val="00277D03"/>
    <w:rsid w:val="0028078B"/>
    <w:rsid w:val="00280906"/>
    <w:rsid w:val="00280BF9"/>
    <w:rsid w:val="00280FB3"/>
    <w:rsid w:val="002810F8"/>
    <w:rsid w:val="00281625"/>
    <w:rsid w:val="002818FC"/>
    <w:rsid w:val="00281F58"/>
    <w:rsid w:val="0028253E"/>
    <w:rsid w:val="00282540"/>
    <w:rsid w:val="0028266A"/>
    <w:rsid w:val="00282A38"/>
    <w:rsid w:val="00282ADF"/>
    <w:rsid w:val="00283129"/>
    <w:rsid w:val="0028326C"/>
    <w:rsid w:val="00283D00"/>
    <w:rsid w:val="00283E2C"/>
    <w:rsid w:val="002841B9"/>
    <w:rsid w:val="00284385"/>
    <w:rsid w:val="002846C7"/>
    <w:rsid w:val="00284EC7"/>
    <w:rsid w:val="00285A9B"/>
    <w:rsid w:val="0028692A"/>
    <w:rsid w:val="00286E30"/>
    <w:rsid w:val="00287654"/>
    <w:rsid w:val="00287E98"/>
    <w:rsid w:val="00290066"/>
    <w:rsid w:val="00290208"/>
    <w:rsid w:val="002903BA"/>
    <w:rsid w:val="00290891"/>
    <w:rsid w:val="002909BF"/>
    <w:rsid w:val="00290D3A"/>
    <w:rsid w:val="0029104E"/>
    <w:rsid w:val="0029115C"/>
    <w:rsid w:val="002913DC"/>
    <w:rsid w:val="0029141C"/>
    <w:rsid w:val="00291BB6"/>
    <w:rsid w:val="002920E2"/>
    <w:rsid w:val="00292172"/>
    <w:rsid w:val="00292552"/>
    <w:rsid w:val="00292BE6"/>
    <w:rsid w:val="00292C0D"/>
    <w:rsid w:val="00292EA9"/>
    <w:rsid w:val="00293727"/>
    <w:rsid w:val="00293988"/>
    <w:rsid w:val="00293AAE"/>
    <w:rsid w:val="00293B5F"/>
    <w:rsid w:val="0029420F"/>
    <w:rsid w:val="002943FA"/>
    <w:rsid w:val="00294505"/>
    <w:rsid w:val="002948A6"/>
    <w:rsid w:val="00294DE3"/>
    <w:rsid w:val="00294EA8"/>
    <w:rsid w:val="00295425"/>
    <w:rsid w:val="002954CC"/>
    <w:rsid w:val="00296450"/>
    <w:rsid w:val="00296581"/>
    <w:rsid w:val="00296D13"/>
    <w:rsid w:val="00297E6A"/>
    <w:rsid w:val="00297E9B"/>
    <w:rsid w:val="002A066E"/>
    <w:rsid w:val="002A1092"/>
    <w:rsid w:val="002A14FF"/>
    <w:rsid w:val="002A180E"/>
    <w:rsid w:val="002A19A4"/>
    <w:rsid w:val="002A1BDC"/>
    <w:rsid w:val="002A1F52"/>
    <w:rsid w:val="002A2132"/>
    <w:rsid w:val="002A2697"/>
    <w:rsid w:val="002A27F7"/>
    <w:rsid w:val="002A299C"/>
    <w:rsid w:val="002A2B4B"/>
    <w:rsid w:val="002A33F7"/>
    <w:rsid w:val="002A4305"/>
    <w:rsid w:val="002A4655"/>
    <w:rsid w:val="002A46EF"/>
    <w:rsid w:val="002A519E"/>
    <w:rsid w:val="002A521A"/>
    <w:rsid w:val="002A5345"/>
    <w:rsid w:val="002A5683"/>
    <w:rsid w:val="002A5BDE"/>
    <w:rsid w:val="002A609F"/>
    <w:rsid w:val="002A63C6"/>
    <w:rsid w:val="002A66D6"/>
    <w:rsid w:val="002A67AE"/>
    <w:rsid w:val="002A6AB0"/>
    <w:rsid w:val="002A724E"/>
    <w:rsid w:val="002A7676"/>
    <w:rsid w:val="002A7AEC"/>
    <w:rsid w:val="002A7D11"/>
    <w:rsid w:val="002A7E80"/>
    <w:rsid w:val="002B041D"/>
    <w:rsid w:val="002B141B"/>
    <w:rsid w:val="002B2FBB"/>
    <w:rsid w:val="002B30B6"/>
    <w:rsid w:val="002B342B"/>
    <w:rsid w:val="002B3867"/>
    <w:rsid w:val="002B452E"/>
    <w:rsid w:val="002B4837"/>
    <w:rsid w:val="002B4937"/>
    <w:rsid w:val="002B4C1D"/>
    <w:rsid w:val="002B4E95"/>
    <w:rsid w:val="002B53D7"/>
    <w:rsid w:val="002B55DA"/>
    <w:rsid w:val="002B5C57"/>
    <w:rsid w:val="002B5C81"/>
    <w:rsid w:val="002B5E39"/>
    <w:rsid w:val="002B63EB"/>
    <w:rsid w:val="002B6BB1"/>
    <w:rsid w:val="002B6EF6"/>
    <w:rsid w:val="002B7686"/>
    <w:rsid w:val="002B7715"/>
    <w:rsid w:val="002B7744"/>
    <w:rsid w:val="002C079F"/>
    <w:rsid w:val="002C07B4"/>
    <w:rsid w:val="002C15D0"/>
    <w:rsid w:val="002C1C81"/>
    <w:rsid w:val="002C33CC"/>
    <w:rsid w:val="002C386F"/>
    <w:rsid w:val="002C40C4"/>
    <w:rsid w:val="002C479C"/>
    <w:rsid w:val="002C4859"/>
    <w:rsid w:val="002C4A7A"/>
    <w:rsid w:val="002C4C33"/>
    <w:rsid w:val="002C504C"/>
    <w:rsid w:val="002C539C"/>
    <w:rsid w:val="002C56B7"/>
    <w:rsid w:val="002C6D15"/>
    <w:rsid w:val="002C73B5"/>
    <w:rsid w:val="002C7880"/>
    <w:rsid w:val="002C7A96"/>
    <w:rsid w:val="002C7CD2"/>
    <w:rsid w:val="002D1700"/>
    <w:rsid w:val="002D1814"/>
    <w:rsid w:val="002D1B5B"/>
    <w:rsid w:val="002D20BD"/>
    <w:rsid w:val="002D23C7"/>
    <w:rsid w:val="002D26B9"/>
    <w:rsid w:val="002D2A46"/>
    <w:rsid w:val="002D35B3"/>
    <w:rsid w:val="002D3A64"/>
    <w:rsid w:val="002D4225"/>
    <w:rsid w:val="002D4408"/>
    <w:rsid w:val="002D4768"/>
    <w:rsid w:val="002D4BD8"/>
    <w:rsid w:val="002D599A"/>
    <w:rsid w:val="002D5AA7"/>
    <w:rsid w:val="002D5AD6"/>
    <w:rsid w:val="002D5CE6"/>
    <w:rsid w:val="002D5ED2"/>
    <w:rsid w:val="002D5F5D"/>
    <w:rsid w:val="002D5F7A"/>
    <w:rsid w:val="002D63BF"/>
    <w:rsid w:val="002D63F6"/>
    <w:rsid w:val="002D6459"/>
    <w:rsid w:val="002D651A"/>
    <w:rsid w:val="002D693E"/>
    <w:rsid w:val="002D6B9B"/>
    <w:rsid w:val="002D73D8"/>
    <w:rsid w:val="002D7455"/>
    <w:rsid w:val="002D7832"/>
    <w:rsid w:val="002D79BD"/>
    <w:rsid w:val="002D7AB9"/>
    <w:rsid w:val="002E0235"/>
    <w:rsid w:val="002E0670"/>
    <w:rsid w:val="002E069A"/>
    <w:rsid w:val="002E06B0"/>
    <w:rsid w:val="002E0A8E"/>
    <w:rsid w:val="002E0B39"/>
    <w:rsid w:val="002E0F9B"/>
    <w:rsid w:val="002E1297"/>
    <w:rsid w:val="002E15D1"/>
    <w:rsid w:val="002E1882"/>
    <w:rsid w:val="002E19D4"/>
    <w:rsid w:val="002E1B2E"/>
    <w:rsid w:val="002E23F7"/>
    <w:rsid w:val="002E2E6B"/>
    <w:rsid w:val="002E3133"/>
    <w:rsid w:val="002E3217"/>
    <w:rsid w:val="002E3343"/>
    <w:rsid w:val="002E338C"/>
    <w:rsid w:val="002E3467"/>
    <w:rsid w:val="002E361A"/>
    <w:rsid w:val="002E367B"/>
    <w:rsid w:val="002E36D5"/>
    <w:rsid w:val="002E387F"/>
    <w:rsid w:val="002E4355"/>
    <w:rsid w:val="002E4439"/>
    <w:rsid w:val="002E485D"/>
    <w:rsid w:val="002E4F4B"/>
    <w:rsid w:val="002E520C"/>
    <w:rsid w:val="002E5A80"/>
    <w:rsid w:val="002E5BA6"/>
    <w:rsid w:val="002E5F03"/>
    <w:rsid w:val="002E68DB"/>
    <w:rsid w:val="002E6918"/>
    <w:rsid w:val="002E6B16"/>
    <w:rsid w:val="002E6CB8"/>
    <w:rsid w:val="002E6F3F"/>
    <w:rsid w:val="002E76B3"/>
    <w:rsid w:val="002E785F"/>
    <w:rsid w:val="002E787D"/>
    <w:rsid w:val="002E78A2"/>
    <w:rsid w:val="002E7FC8"/>
    <w:rsid w:val="002F0051"/>
    <w:rsid w:val="002F05E3"/>
    <w:rsid w:val="002F0667"/>
    <w:rsid w:val="002F096E"/>
    <w:rsid w:val="002F18DD"/>
    <w:rsid w:val="002F19B4"/>
    <w:rsid w:val="002F19C4"/>
    <w:rsid w:val="002F1B1C"/>
    <w:rsid w:val="002F1C70"/>
    <w:rsid w:val="002F1C8C"/>
    <w:rsid w:val="002F1D2B"/>
    <w:rsid w:val="002F1E47"/>
    <w:rsid w:val="002F1ED1"/>
    <w:rsid w:val="002F2188"/>
    <w:rsid w:val="002F2717"/>
    <w:rsid w:val="002F28D1"/>
    <w:rsid w:val="002F294E"/>
    <w:rsid w:val="002F2B29"/>
    <w:rsid w:val="002F2FB7"/>
    <w:rsid w:val="002F371C"/>
    <w:rsid w:val="002F39D5"/>
    <w:rsid w:val="002F3BC1"/>
    <w:rsid w:val="002F4057"/>
    <w:rsid w:val="002F4140"/>
    <w:rsid w:val="002F43FF"/>
    <w:rsid w:val="002F497E"/>
    <w:rsid w:val="002F50D1"/>
    <w:rsid w:val="002F54A8"/>
    <w:rsid w:val="002F5A25"/>
    <w:rsid w:val="002F5B82"/>
    <w:rsid w:val="002F5F65"/>
    <w:rsid w:val="002F6554"/>
    <w:rsid w:val="002F6626"/>
    <w:rsid w:val="002F6998"/>
    <w:rsid w:val="002F6A89"/>
    <w:rsid w:val="002F6B84"/>
    <w:rsid w:val="002F70A5"/>
    <w:rsid w:val="002F7328"/>
    <w:rsid w:val="002F7815"/>
    <w:rsid w:val="002F7830"/>
    <w:rsid w:val="002F7A20"/>
    <w:rsid w:val="002F7B1D"/>
    <w:rsid w:val="00300587"/>
    <w:rsid w:val="00300C71"/>
    <w:rsid w:val="00300F75"/>
    <w:rsid w:val="003015E6"/>
    <w:rsid w:val="003020F3"/>
    <w:rsid w:val="00302E02"/>
    <w:rsid w:val="00302F51"/>
    <w:rsid w:val="0030337C"/>
    <w:rsid w:val="00303AA6"/>
    <w:rsid w:val="00303C13"/>
    <w:rsid w:val="00303E77"/>
    <w:rsid w:val="00303EE0"/>
    <w:rsid w:val="003042A6"/>
    <w:rsid w:val="003047AD"/>
    <w:rsid w:val="00304895"/>
    <w:rsid w:val="00304D8B"/>
    <w:rsid w:val="00304EBF"/>
    <w:rsid w:val="00304FF8"/>
    <w:rsid w:val="00305324"/>
    <w:rsid w:val="003053D9"/>
    <w:rsid w:val="00305959"/>
    <w:rsid w:val="00305DC4"/>
    <w:rsid w:val="00306D25"/>
    <w:rsid w:val="003070D0"/>
    <w:rsid w:val="0030717D"/>
    <w:rsid w:val="003076C1"/>
    <w:rsid w:val="00307AC5"/>
    <w:rsid w:val="00307CC4"/>
    <w:rsid w:val="00307E55"/>
    <w:rsid w:val="00307F80"/>
    <w:rsid w:val="00310010"/>
    <w:rsid w:val="003103DA"/>
    <w:rsid w:val="0031057B"/>
    <w:rsid w:val="00310A9F"/>
    <w:rsid w:val="00310AD0"/>
    <w:rsid w:val="00310C8C"/>
    <w:rsid w:val="003110CD"/>
    <w:rsid w:val="00311269"/>
    <w:rsid w:val="003113E4"/>
    <w:rsid w:val="0031141A"/>
    <w:rsid w:val="00311A5F"/>
    <w:rsid w:val="00312587"/>
    <w:rsid w:val="0031261B"/>
    <w:rsid w:val="003129CF"/>
    <w:rsid w:val="00312A6C"/>
    <w:rsid w:val="00312D91"/>
    <w:rsid w:val="00312F93"/>
    <w:rsid w:val="003131BC"/>
    <w:rsid w:val="00313519"/>
    <w:rsid w:val="003137F4"/>
    <w:rsid w:val="003138EB"/>
    <w:rsid w:val="003143F6"/>
    <w:rsid w:val="00314FFE"/>
    <w:rsid w:val="003156B9"/>
    <w:rsid w:val="00315C85"/>
    <w:rsid w:val="0031677D"/>
    <w:rsid w:val="00316D60"/>
    <w:rsid w:val="00317852"/>
    <w:rsid w:val="00320298"/>
    <w:rsid w:val="003202D3"/>
    <w:rsid w:val="00320742"/>
    <w:rsid w:val="00321A82"/>
    <w:rsid w:val="00321C25"/>
    <w:rsid w:val="00321E66"/>
    <w:rsid w:val="003220B7"/>
    <w:rsid w:val="00322147"/>
    <w:rsid w:val="00322236"/>
    <w:rsid w:val="003223A7"/>
    <w:rsid w:val="00322A0B"/>
    <w:rsid w:val="00323135"/>
    <w:rsid w:val="00323263"/>
    <w:rsid w:val="00323375"/>
    <w:rsid w:val="00323FC6"/>
    <w:rsid w:val="00324AFB"/>
    <w:rsid w:val="00324E87"/>
    <w:rsid w:val="0032517E"/>
    <w:rsid w:val="003252F9"/>
    <w:rsid w:val="0032581F"/>
    <w:rsid w:val="00325CFD"/>
    <w:rsid w:val="00326B45"/>
    <w:rsid w:val="00326B5F"/>
    <w:rsid w:val="00326C47"/>
    <w:rsid w:val="00326D6B"/>
    <w:rsid w:val="003277F6"/>
    <w:rsid w:val="00327DF0"/>
    <w:rsid w:val="00330599"/>
    <w:rsid w:val="00330C2D"/>
    <w:rsid w:val="00330CB4"/>
    <w:rsid w:val="0033146F"/>
    <w:rsid w:val="0033148C"/>
    <w:rsid w:val="003322A2"/>
    <w:rsid w:val="00332691"/>
    <w:rsid w:val="00333219"/>
    <w:rsid w:val="003332FC"/>
    <w:rsid w:val="0033332D"/>
    <w:rsid w:val="00333A56"/>
    <w:rsid w:val="00334119"/>
    <w:rsid w:val="003341E4"/>
    <w:rsid w:val="00334D21"/>
    <w:rsid w:val="00334E04"/>
    <w:rsid w:val="00335317"/>
    <w:rsid w:val="003353C3"/>
    <w:rsid w:val="00335484"/>
    <w:rsid w:val="0033574A"/>
    <w:rsid w:val="00335902"/>
    <w:rsid w:val="00335C4E"/>
    <w:rsid w:val="00335EBA"/>
    <w:rsid w:val="00336558"/>
    <w:rsid w:val="003367F7"/>
    <w:rsid w:val="00337544"/>
    <w:rsid w:val="00337613"/>
    <w:rsid w:val="00337820"/>
    <w:rsid w:val="00337F6A"/>
    <w:rsid w:val="003400E5"/>
    <w:rsid w:val="00340532"/>
    <w:rsid w:val="00340992"/>
    <w:rsid w:val="00340BDA"/>
    <w:rsid w:val="00340CD1"/>
    <w:rsid w:val="003411E3"/>
    <w:rsid w:val="003413F9"/>
    <w:rsid w:val="003415B6"/>
    <w:rsid w:val="003418B1"/>
    <w:rsid w:val="00341A65"/>
    <w:rsid w:val="003421EC"/>
    <w:rsid w:val="00342554"/>
    <w:rsid w:val="00342584"/>
    <w:rsid w:val="003427CA"/>
    <w:rsid w:val="003429B3"/>
    <w:rsid w:val="003429F3"/>
    <w:rsid w:val="00342C86"/>
    <w:rsid w:val="00342EE3"/>
    <w:rsid w:val="0034316E"/>
    <w:rsid w:val="00343255"/>
    <w:rsid w:val="00343A10"/>
    <w:rsid w:val="00343D0E"/>
    <w:rsid w:val="003451A2"/>
    <w:rsid w:val="00345279"/>
    <w:rsid w:val="0034528C"/>
    <w:rsid w:val="00345F66"/>
    <w:rsid w:val="00346004"/>
    <w:rsid w:val="00346249"/>
    <w:rsid w:val="00346298"/>
    <w:rsid w:val="00346BF2"/>
    <w:rsid w:val="0034731D"/>
    <w:rsid w:val="003474AB"/>
    <w:rsid w:val="00347745"/>
    <w:rsid w:val="0034793A"/>
    <w:rsid w:val="00347C8D"/>
    <w:rsid w:val="00347F20"/>
    <w:rsid w:val="00350473"/>
    <w:rsid w:val="00350BE5"/>
    <w:rsid w:val="00350FE4"/>
    <w:rsid w:val="00351805"/>
    <w:rsid w:val="003518FC"/>
    <w:rsid w:val="003519B0"/>
    <w:rsid w:val="003519B6"/>
    <w:rsid w:val="00351A64"/>
    <w:rsid w:val="00351BA6"/>
    <w:rsid w:val="00351D29"/>
    <w:rsid w:val="003520DA"/>
    <w:rsid w:val="00352DB1"/>
    <w:rsid w:val="003531B5"/>
    <w:rsid w:val="0035322D"/>
    <w:rsid w:val="00353356"/>
    <w:rsid w:val="00353D15"/>
    <w:rsid w:val="0035437C"/>
    <w:rsid w:val="0035459F"/>
    <w:rsid w:val="0035486A"/>
    <w:rsid w:val="00354C00"/>
    <w:rsid w:val="003551A9"/>
    <w:rsid w:val="003553A0"/>
    <w:rsid w:val="00355CA8"/>
    <w:rsid w:val="00355FEC"/>
    <w:rsid w:val="003560DD"/>
    <w:rsid w:val="003564B2"/>
    <w:rsid w:val="003565DA"/>
    <w:rsid w:val="0035661A"/>
    <w:rsid w:val="0035669D"/>
    <w:rsid w:val="0035698E"/>
    <w:rsid w:val="00356EC8"/>
    <w:rsid w:val="003570B3"/>
    <w:rsid w:val="003576D0"/>
    <w:rsid w:val="003576D3"/>
    <w:rsid w:val="00357E4B"/>
    <w:rsid w:val="0036030C"/>
    <w:rsid w:val="00360649"/>
    <w:rsid w:val="00360872"/>
    <w:rsid w:val="0036089A"/>
    <w:rsid w:val="00360A3B"/>
    <w:rsid w:val="00360E99"/>
    <w:rsid w:val="00362145"/>
    <w:rsid w:val="00362400"/>
    <w:rsid w:val="0036252B"/>
    <w:rsid w:val="00362ACB"/>
    <w:rsid w:val="0036321E"/>
    <w:rsid w:val="003639A3"/>
    <w:rsid w:val="00364465"/>
    <w:rsid w:val="00364487"/>
    <w:rsid w:val="00364541"/>
    <w:rsid w:val="00364A49"/>
    <w:rsid w:val="00364AA2"/>
    <w:rsid w:val="00365449"/>
    <w:rsid w:val="0036558D"/>
    <w:rsid w:val="00365D56"/>
    <w:rsid w:val="003661A2"/>
    <w:rsid w:val="00366EE1"/>
    <w:rsid w:val="003672B1"/>
    <w:rsid w:val="003676CE"/>
    <w:rsid w:val="00367BFC"/>
    <w:rsid w:val="00367E17"/>
    <w:rsid w:val="003707A0"/>
    <w:rsid w:val="00370931"/>
    <w:rsid w:val="00370A8E"/>
    <w:rsid w:val="00370B40"/>
    <w:rsid w:val="00371F72"/>
    <w:rsid w:val="00371FC2"/>
    <w:rsid w:val="0037264A"/>
    <w:rsid w:val="00372C52"/>
    <w:rsid w:val="00373011"/>
    <w:rsid w:val="003733A5"/>
    <w:rsid w:val="00373604"/>
    <w:rsid w:val="0037386C"/>
    <w:rsid w:val="003738FE"/>
    <w:rsid w:val="0037411A"/>
    <w:rsid w:val="00374594"/>
    <w:rsid w:val="003746D0"/>
    <w:rsid w:val="0037505F"/>
    <w:rsid w:val="0037528D"/>
    <w:rsid w:val="0037546C"/>
    <w:rsid w:val="00375527"/>
    <w:rsid w:val="003755F2"/>
    <w:rsid w:val="003765CC"/>
    <w:rsid w:val="00376600"/>
    <w:rsid w:val="00376750"/>
    <w:rsid w:val="003767E2"/>
    <w:rsid w:val="00376975"/>
    <w:rsid w:val="00376B21"/>
    <w:rsid w:val="0037752C"/>
    <w:rsid w:val="0037759C"/>
    <w:rsid w:val="003776A3"/>
    <w:rsid w:val="003778BC"/>
    <w:rsid w:val="00377969"/>
    <w:rsid w:val="00377B33"/>
    <w:rsid w:val="00377EC1"/>
    <w:rsid w:val="003804A5"/>
    <w:rsid w:val="00380773"/>
    <w:rsid w:val="00380824"/>
    <w:rsid w:val="00380C51"/>
    <w:rsid w:val="003811AB"/>
    <w:rsid w:val="00381714"/>
    <w:rsid w:val="00381E47"/>
    <w:rsid w:val="003821E4"/>
    <w:rsid w:val="003822BB"/>
    <w:rsid w:val="00382317"/>
    <w:rsid w:val="00382895"/>
    <w:rsid w:val="003834D2"/>
    <w:rsid w:val="0038389D"/>
    <w:rsid w:val="00383C27"/>
    <w:rsid w:val="00383F8A"/>
    <w:rsid w:val="003842F9"/>
    <w:rsid w:val="00384364"/>
    <w:rsid w:val="00384569"/>
    <w:rsid w:val="00384A27"/>
    <w:rsid w:val="00385184"/>
    <w:rsid w:val="00385762"/>
    <w:rsid w:val="00385EBD"/>
    <w:rsid w:val="0038623D"/>
    <w:rsid w:val="00386715"/>
    <w:rsid w:val="003867FB"/>
    <w:rsid w:val="0038693F"/>
    <w:rsid w:val="003869A7"/>
    <w:rsid w:val="00386C5A"/>
    <w:rsid w:val="00386F34"/>
    <w:rsid w:val="00387253"/>
    <w:rsid w:val="003873B7"/>
    <w:rsid w:val="0038742D"/>
    <w:rsid w:val="00387F01"/>
    <w:rsid w:val="00390730"/>
    <w:rsid w:val="00390E72"/>
    <w:rsid w:val="00390E8F"/>
    <w:rsid w:val="00391020"/>
    <w:rsid w:val="003910CE"/>
    <w:rsid w:val="00391185"/>
    <w:rsid w:val="00391380"/>
    <w:rsid w:val="00391AC5"/>
    <w:rsid w:val="00391F11"/>
    <w:rsid w:val="00392526"/>
    <w:rsid w:val="00392771"/>
    <w:rsid w:val="00392A77"/>
    <w:rsid w:val="00392C97"/>
    <w:rsid w:val="00392F0F"/>
    <w:rsid w:val="0039340D"/>
    <w:rsid w:val="003939D0"/>
    <w:rsid w:val="00393F9B"/>
    <w:rsid w:val="00394048"/>
    <w:rsid w:val="003942AF"/>
    <w:rsid w:val="0039434A"/>
    <w:rsid w:val="0039439F"/>
    <w:rsid w:val="0039445E"/>
    <w:rsid w:val="00394CBF"/>
    <w:rsid w:val="00394CFC"/>
    <w:rsid w:val="00395661"/>
    <w:rsid w:val="00396688"/>
    <w:rsid w:val="00396798"/>
    <w:rsid w:val="00396809"/>
    <w:rsid w:val="00396DB0"/>
    <w:rsid w:val="00396EC6"/>
    <w:rsid w:val="003974AA"/>
    <w:rsid w:val="00397E56"/>
    <w:rsid w:val="003A05BA"/>
    <w:rsid w:val="003A05C8"/>
    <w:rsid w:val="003A0A47"/>
    <w:rsid w:val="003A0BFB"/>
    <w:rsid w:val="003A0FD6"/>
    <w:rsid w:val="003A16D2"/>
    <w:rsid w:val="003A1C10"/>
    <w:rsid w:val="003A1DCC"/>
    <w:rsid w:val="003A20C2"/>
    <w:rsid w:val="003A2251"/>
    <w:rsid w:val="003A2E75"/>
    <w:rsid w:val="003A3144"/>
    <w:rsid w:val="003A3C79"/>
    <w:rsid w:val="003A3CED"/>
    <w:rsid w:val="003A4112"/>
    <w:rsid w:val="003A415C"/>
    <w:rsid w:val="003A4577"/>
    <w:rsid w:val="003A45B6"/>
    <w:rsid w:val="003A498D"/>
    <w:rsid w:val="003A50D2"/>
    <w:rsid w:val="003A51E7"/>
    <w:rsid w:val="003A542C"/>
    <w:rsid w:val="003A5B91"/>
    <w:rsid w:val="003A64FB"/>
    <w:rsid w:val="003A68DA"/>
    <w:rsid w:val="003A6A03"/>
    <w:rsid w:val="003A7029"/>
    <w:rsid w:val="003A7241"/>
    <w:rsid w:val="003A7D3B"/>
    <w:rsid w:val="003B0100"/>
    <w:rsid w:val="003B01EF"/>
    <w:rsid w:val="003B0215"/>
    <w:rsid w:val="003B03A2"/>
    <w:rsid w:val="003B04B7"/>
    <w:rsid w:val="003B06C4"/>
    <w:rsid w:val="003B078D"/>
    <w:rsid w:val="003B103F"/>
    <w:rsid w:val="003B18CD"/>
    <w:rsid w:val="003B19DE"/>
    <w:rsid w:val="003B1FAA"/>
    <w:rsid w:val="003B2131"/>
    <w:rsid w:val="003B2888"/>
    <w:rsid w:val="003B2A33"/>
    <w:rsid w:val="003B2E35"/>
    <w:rsid w:val="003B3055"/>
    <w:rsid w:val="003B3730"/>
    <w:rsid w:val="003B38B9"/>
    <w:rsid w:val="003B4876"/>
    <w:rsid w:val="003B4B3B"/>
    <w:rsid w:val="003B50B9"/>
    <w:rsid w:val="003B510B"/>
    <w:rsid w:val="003B5409"/>
    <w:rsid w:val="003B5521"/>
    <w:rsid w:val="003B5B84"/>
    <w:rsid w:val="003B5CAB"/>
    <w:rsid w:val="003B6065"/>
    <w:rsid w:val="003B62BC"/>
    <w:rsid w:val="003B6305"/>
    <w:rsid w:val="003B7647"/>
    <w:rsid w:val="003B7B4C"/>
    <w:rsid w:val="003B7B70"/>
    <w:rsid w:val="003B7D79"/>
    <w:rsid w:val="003C01F6"/>
    <w:rsid w:val="003C0C44"/>
    <w:rsid w:val="003C0CB9"/>
    <w:rsid w:val="003C10DE"/>
    <w:rsid w:val="003C15D3"/>
    <w:rsid w:val="003C17B9"/>
    <w:rsid w:val="003C1955"/>
    <w:rsid w:val="003C1B00"/>
    <w:rsid w:val="003C2186"/>
    <w:rsid w:val="003C23CE"/>
    <w:rsid w:val="003C243B"/>
    <w:rsid w:val="003C28C9"/>
    <w:rsid w:val="003C2A0C"/>
    <w:rsid w:val="003C3839"/>
    <w:rsid w:val="003C3F51"/>
    <w:rsid w:val="003C3F83"/>
    <w:rsid w:val="003C40E3"/>
    <w:rsid w:val="003C44BB"/>
    <w:rsid w:val="003C47DA"/>
    <w:rsid w:val="003C4967"/>
    <w:rsid w:val="003C4BFC"/>
    <w:rsid w:val="003C4E06"/>
    <w:rsid w:val="003C50F6"/>
    <w:rsid w:val="003C5156"/>
    <w:rsid w:val="003C53A3"/>
    <w:rsid w:val="003C5CEC"/>
    <w:rsid w:val="003C6557"/>
    <w:rsid w:val="003C65AA"/>
    <w:rsid w:val="003C68B3"/>
    <w:rsid w:val="003C6A13"/>
    <w:rsid w:val="003C6B87"/>
    <w:rsid w:val="003C7021"/>
    <w:rsid w:val="003C716D"/>
    <w:rsid w:val="003C779C"/>
    <w:rsid w:val="003C77B4"/>
    <w:rsid w:val="003C7929"/>
    <w:rsid w:val="003C7BC0"/>
    <w:rsid w:val="003C7EB0"/>
    <w:rsid w:val="003C7EFC"/>
    <w:rsid w:val="003D091F"/>
    <w:rsid w:val="003D0E14"/>
    <w:rsid w:val="003D1399"/>
    <w:rsid w:val="003D1621"/>
    <w:rsid w:val="003D16CC"/>
    <w:rsid w:val="003D176C"/>
    <w:rsid w:val="003D1FC1"/>
    <w:rsid w:val="003D213B"/>
    <w:rsid w:val="003D2380"/>
    <w:rsid w:val="003D2A04"/>
    <w:rsid w:val="003D2CEE"/>
    <w:rsid w:val="003D2CFA"/>
    <w:rsid w:val="003D3595"/>
    <w:rsid w:val="003D3662"/>
    <w:rsid w:val="003D3AEA"/>
    <w:rsid w:val="003D3F9F"/>
    <w:rsid w:val="003D3FC5"/>
    <w:rsid w:val="003D4B0B"/>
    <w:rsid w:val="003D4C64"/>
    <w:rsid w:val="003D4EA3"/>
    <w:rsid w:val="003D4FC7"/>
    <w:rsid w:val="003D53A3"/>
    <w:rsid w:val="003D5BCD"/>
    <w:rsid w:val="003D5E9B"/>
    <w:rsid w:val="003D65A9"/>
    <w:rsid w:val="003D6629"/>
    <w:rsid w:val="003D6CA0"/>
    <w:rsid w:val="003E0836"/>
    <w:rsid w:val="003E0958"/>
    <w:rsid w:val="003E09C0"/>
    <w:rsid w:val="003E0AC9"/>
    <w:rsid w:val="003E1098"/>
    <w:rsid w:val="003E174A"/>
    <w:rsid w:val="003E1979"/>
    <w:rsid w:val="003E1B06"/>
    <w:rsid w:val="003E1FC5"/>
    <w:rsid w:val="003E2163"/>
    <w:rsid w:val="003E2628"/>
    <w:rsid w:val="003E2CA8"/>
    <w:rsid w:val="003E2CF2"/>
    <w:rsid w:val="003E34BC"/>
    <w:rsid w:val="003E3626"/>
    <w:rsid w:val="003E3D6E"/>
    <w:rsid w:val="003E41E8"/>
    <w:rsid w:val="003E465F"/>
    <w:rsid w:val="003E47E1"/>
    <w:rsid w:val="003E4CD2"/>
    <w:rsid w:val="003E5ECA"/>
    <w:rsid w:val="003E6B3F"/>
    <w:rsid w:val="003E6D7E"/>
    <w:rsid w:val="003F0C15"/>
    <w:rsid w:val="003F0E23"/>
    <w:rsid w:val="003F0FC4"/>
    <w:rsid w:val="003F10F5"/>
    <w:rsid w:val="003F1661"/>
    <w:rsid w:val="003F1F8A"/>
    <w:rsid w:val="003F2556"/>
    <w:rsid w:val="003F2A37"/>
    <w:rsid w:val="003F2ABF"/>
    <w:rsid w:val="003F3451"/>
    <w:rsid w:val="003F35D1"/>
    <w:rsid w:val="003F3650"/>
    <w:rsid w:val="003F3D80"/>
    <w:rsid w:val="003F4248"/>
    <w:rsid w:val="003F4D47"/>
    <w:rsid w:val="003F5315"/>
    <w:rsid w:val="003F5593"/>
    <w:rsid w:val="003F5D31"/>
    <w:rsid w:val="003F622E"/>
    <w:rsid w:val="003F6291"/>
    <w:rsid w:val="003F6404"/>
    <w:rsid w:val="003F6424"/>
    <w:rsid w:val="003F64D9"/>
    <w:rsid w:val="003F6B32"/>
    <w:rsid w:val="003F6CE0"/>
    <w:rsid w:val="003F6CE7"/>
    <w:rsid w:val="003F7256"/>
    <w:rsid w:val="003F74B5"/>
    <w:rsid w:val="004001A7"/>
    <w:rsid w:val="004008D7"/>
    <w:rsid w:val="00400EB1"/>
    <w:rsid w:val="00401F9D"/>
    <w:rsid w:val="00402173"/>
    <w:rsid w:val="00402185"/>
    <w:rsid w:val="0040234A"/>
    <w:rsid w:val="00402682"/>
    <w:rsid w:val="0040290C"/>
    <w:rsid w:val="00402C2A"/>
    <w:rsid w:val="00403034"/>
    <w:rsid w:val="00404D23"/>
    <w:rsid w:val="004053A9"/>
    <w:rsid w:val="0040548C"/>
    <w:rsid w:val="00405B21"/>
    <w:rsid w:val="00405F6B"/>
    <w:rsid w:val="00406338"/>
    <w:rsid w:val="00406A76"/>
    <w:rsid w:val="004072C4"/>
    <w:rsid w:val="00407370"/>
    <w:rsid w:val="00407571"/>
    <w:rsid w:val="00407611"/>
    <w:rsid w:val="00407827"/>
    <w:rsid w:val="00410019"/>
    <w:rsid w:val="00410185"/>
    <w:rsid w:val="0041029E"/>
    <w:rsid w:val="004104DE"/>
    <w:rsid w:val="00410761"/>
    <w:rsid w:val="00410F86"/>
    <w:rsid w:val="0041212A"/>
    <w:rsid w:val="00412449"/>
    <w:rsid w:val="0041391E"/>
    <w:rsid w:val="004139A3"/>
    <w:rsid w:val="00413E9B"/>
    <w:rsid w:val="00414CF3"/>
    <w:rsid w:val="00414F22"/>
    <w:rsid w:val="004155FB"/>
    <w:rsid w:val="004156C1"/>
    <w:rsid w:val="004159FE"/>
    <w:rsid w:val="00415A00"/>
    <w:rsid w:val="00415AC2"/>
    <w:rsid w:val="004163F3"/>
    <w:rsid w:val="00416593"/>
    <w:rsid w:val="00416866"/>
    <w:rsid w:val="004168F6"/>
    <w:rsid w:val="00416B4D"/>
    <w:rsid w:val="00416CD9"/>
    <w:rsid w:val="00416EBF"/>
    <w:rsid w:val="0041709F"/>
    <w:rsid w:val="0041753C"/>
    <w:rsid w:val="00417778"/>
    <w:rsid w:val="00417AB2"/>
    <w:rsid w:val="00420012"/>
    <w:rsid w:val="00420484"/>
    <w:rsid w:val="00420A20"/>
    <w:rsid w:val="00420AA9"/>
    <w:rsid w:val="00420DB7"/>
    <w:rsid w:val="0042141D"/>
    <w:rsid w:val="00421919"/>
    <w:rsid w:val="0042296F"/>
    <w:rsid w:val="004234AE"/>
    <w:rsid w:val="004239D1"/>
    <w:rsid w:val="00423B25"/>
    <w:rsid w:val="00423C5D"/>
    <w:rsid w:val="00423CCE"/>
    <w:rsid w:val="00423D2D"/>
    <w:rsid w:val="004241DF"/>
    <w:rsid w:val="004241E7"/>
    <w:rsid w:val="00424402"/>
    <w:rsid w:val="00424598"/>
    <w:rsid w:val="00424C37"/>
    <w:rsid w:val="00425C26"/>
    <w:rsid w:val="00426793"/>
    <w:rsid w:val="00426B2C"/>
    <w:rsid w:val="00427272"/>
    <w:rsid w:val="004278E4"/>
    <w:rsid w:val="0043006F"/>
    <w:rsid w:val="004301F5"/>
    <w:rsid w:val="004308C8"/>
    <w:rsid w:val="00430E4C"/>
    <w:rsid w:val="00430EB8"/>
    <w:rsid w:val="004310B9"/>
    <w:rsid w:val="004315D8"/>
    <w:rsid w:val="00431675"/>
    <w:rsid w:val="004317A7"/>
    <w:rsid w:val="00431CC7"/>
    <w:rsid w:val="004321AF"/>
    <w:rsid w:val="00432C8A"/>
    <w:rsid w:val="00432CFB"/>
    <w:rsid w:val="00432E61"/>
    <w:rsid w:val="00432FD8"/>
    <w:rsid w:val="00433392"/>
    <w:rsid w:val="00433785"/>
    <w:rsid w:val="00433865"/>
    <w:rsid w:val="0043403B"/>
    <w:rsid w:val="0043419F"/>
    <w:rsid w:val="004341B0"/>
    <w:rsid w:val="00434BCE"/>
    <w:rsid w:val="00434D7C"/>
    <w:rsid w:val="00434DBE"/>
    <w:rsid w:val="00434E41"/>
    <w:rsid w:val="00434FD6"/>
    <w:rsid w:val="0043526B"/>
    <w:rsid w:val="0043545C"/>
    <w:rsid w:val="00435658"/>
    <w:rsid w:val="0043585F"/>
    <w:rsid w:val="0043592B"/>
    <w:rsid w:val="00435A2D"/>
    <w:rsid w:val="004361B8"/>
    <w:rsid w:val="00436651"/>
    <w:rsid w:val="004367EB"/>
    <w:rsid w:val="00436897"/>
    <w:rsid w:val="00436915"/>
    <w:rsid w:val="00436D1F"/>
    <w:rsid w:val="00437919"/>
    <w:rsid w:val="00437B22"/>
    <w:rsid w:val="00437C3E"/>
    <w:rsid w:val="00437C74"/>
    <w:rsid w:val="00437E9A"/>
    <w:rsid w:val="004400FD"/>
    <w:rsid w:val="004401C4"/>
    <w:rsid w:val="0044072B"/>
    <w:rsid w:val="004409D9"/>
    <w:rsid w:val="00440E30"/>
    <w:rsid w:val="00441326"/>
    <w:rsid w:val="0044180E"/>
    <w:rsid w:val="00441E80"/>
    <w:rsid w:val="00442704"/>
    <w:rsid w:val="0044358D"/>
    <w:rsid w:val="00443F08"/>
    <w:rsid w:val="004447E7"/>
    <w:rsid w:val="00444904"/>
    <w:rsid w:val="00444F03"/>
    <w:rsid w:val="00445A1D"/>
    <w:rsid w:val="00445A83"/>
    <w:rsid w:val="00446813"/>
    <w:rsid w:val="00446AC8"/>
    <w:rsid w:val="00446C60"/>
    <w:rsid w:val="00447241"/>
    <w:rsid w:val="0044727A"/>
    <w:rsid w:val="004476E6"/>
    <w:rsid w:val="00447AA0"/>
    <w:rsid w:val="004502BB"/>
    <w:rsid w:val="00450DC3"/>
    <w:rsid w:val="0045176F"/>
    <w:rsid w:val="00451C22"/>
    <w:rsid w:val="00452634"/>
    <w:rsid w:val="00452845"/>
    <w:rsid w:val="004529A9"/>
    <w:rsid w:val="00453032"/>
    <w:rsid w:val="004530EB"/>
    <w:rsid w:val="004559A9"/>
    <w:rsid w:val="004559E7"/>
    <w:rsid w:val="00455B75"/>
    <w:rsid w:val="00455F76"/>
    <w:rsid w:val="0045612D"/>
    <w:rsid w:val="00456329"/>
    <w:rsid w:val="00456607"/>
    <w:rsid w:val="004569B4"/>
    <w:rsid w:val="00456D1B"/>
    <w:rsid w:val="00457365"/>
    <w:rsid w:val="00457765"/>
    <w:rsid w:val="00457DD2"/>
    <w:rsid w:val="00460331"/>
    <w:rsid w:val="00460D0A"/>
    <w:rsid w:val="00460E41"/>
    <w:rsid w:val="00461252"/>
    <w:rsid w:val="004612FB"/>
    <w:rsid w:val="00461391"/>
    <w:rsid w:val="004615A4"/>
    <w:rsid w:val="00461CED"/>
    <w:rsid w:val="004621AD"/>
    <w:rsid w:val="004624B3"/>
    <w:rsid w:val="004628D5"/>
    <w:rsid w:val="00462E59"/>
    <w:rsid w:val="00462FC1"/>
    <w:rsid w:val="0046300E"/>
    <w:rsid w:val="004638F4"/>
    <w:rsid w:val="00464AD2"/>
    <w:rsid w:val="00464C68"/>
    <w:rsid w:val="00465EC0"/>
    <w:rsid w:val="00465ED5"/>
    <w:rsid w:val="0046607C"/>
    <w:rsid w:val="004661EC"/>
    <w:rsid w:val="00466203"/>
    <w:rsid w:val="0046650A"/>
    <w:rsid w:val="00466A18"/>
    <w:rsid w:val="00466F31"/>
    <w:rsid w:val="004671F4"/>
    <w:rsid w:val="0046739A"/>
    <w:rsid w:val="004676B5"/>
    <w:rsid w:val="004679CA"/>
    <w:rsid w:val="00467A48"/>
    <w:rsid w:val="00467C3D"/>
    <w:rsid w:val="00467C79"/>
    <w:rsid w:val="00470A58"/>
    <w:rsid w:val="00470C50"/>
    <w:rsid w:val="0047136A"/>
    <w:rsid w:val="004721E4"/>
    <w:rsid w:val="004726A5"/>
    <w:rsid w:val="00472A88"/>
    <w:rsid w:val="00472EF7"/>
    <w:rsid w:val="00472FF6"/>
    <w:rsid w:val="0047301E"/>
    <w:rsid w:val="004730F9"/>
    <w:rsid w:val="0047376E"/>
    <w:rsid w:val="00473F14"/>
    <w:rsid w:val="0047401B"/>
    <w:rsid w:val="004740C9"/>
    <w:rsid w:val="00474534"/>
    <w:rsid w:val="004748D4"/>
    <w:rsid w:val="0047497F"/>
    <w:rsid w:val="00474D0B"/>
    <w:rsid w:val="004751EA"/>
    <w:rsid w:val="00475217"/>
    <w:rsid w:val="00475A6F"/>
    <w:rsid w:val="00476A56"/>
    <w:rsid w:val="00477373"/>
    <w:rsid w:val="00477510"/>
    <w:rsid w:val="00477917"/>
    <w:rsid w:val="004779A4"/>
    <w:rsid w:val="00477B4E"/>
    <w:rsid w:val="00477C55"/>
    <w:rsid w:val="00477D43"/>
    <w:rsid w:val="004800BC"/>
    <w:rsid w:val="00480312"/>
    <w:rsid w:val="00481380"/>
    <w:rsid w:val="004825DB"/>
    <w:rsid w:val="00482931"/>
    <w:rsid w:val="0048306F"/>
    <w:rsid w:val="00483086"/>
    <w:rsid w:val="004835A1"/>
    <w:rsid w:val="00483F15"/>
    <w:rsid w:val="0048445A"/>
    <w:rsid w:val="00484526"/>
    <w:rsid w:val="00484561"/>
    <w:rsid w:val="00485B73"/>
    <w:rsid w:val="00485DBC"/>
    <w:rsid w:val="00486582"/>
    <w:rsid w:val="004867EF"/>
    <w:rsid w:val="00486DF2"/>
    <w:rsid w:val="00486F60"/>
    <w:rsid w:val="00486FF5"/>
    <w:rsid w:val="0048733B"/>
    <w:rsid w:val="0048754B"/>
    <w:rsid w:val="00487674"/>
    <w:rsid w:val="00487735"/>
    <w:rsid w:val="00487BC0"/>
    <w:rsid w:val="00487C16"/>
    <w:rsid w:val="00487F6A"/>
    <w:rsid w:val="004902EF"/>
    <w:rsid w:val="0049039F"/>
    <w:rsid w:val="004906B2"/>
    <w:rsid w:val="0049107F"/>
    <w:rsid w:val="0049121E"/>
    <w:rsid w:val="004917DF"/>
    <w:rsid w:val="00491881"/>
    <w:rsid w:val="00491D0A"/>
    <w:rsid w:val="00491E9E"/>
    <w:rsid w:val="00492301"/>
    <w:rsid w:val="0049248B"/>
    <w:rsid w:val="00492737"/>
    <w:rsid w:val="00492795"/>
    <w:rsid w:val="0049288F"/>
    <w:rsid w:val="004928FD"/>
    <w:rsid w:val="00492F0C"/>
    <w:rsid w:val="004936AC"/>
    <w:rsid w:val="0049384F"/>
    <w:rsid w:val="00493B4E"/>
    <w:rsid w:val="00493B91"/>
    <w:rsid w:val="00493FB1"/>
    <w:rsid w:val="00494419"/>
    <w:rsid w:val="004947DE"/>
    <w:rsid w:val="00494907"/>
    <w:rsid w:val="00495020"/>
    <w:rsid w:val="00495204"/>
    <w:rsid w:val="0049524E"/>
    <w:rsid w:val="00495CC3"/>
    <w:rsid w:val="00496B86"/>
    <w:rsid w:val="00496DF5"/>
    <w:rsid w:val="00496E71"/>
    <w:rsid w:val="004970E5"/>
    <w:rsid w:val="004977FF"/>
    <w:rsid w:val="00497990"/>
    <w:rsid w:val="00497C2A"/>
    <w:rsid w:val="00497E97"/>
    <w:rsid w:val="004A030A"/>
    <w:rsid w:val="004A0821"/>
    <w:rsid w:val="004A0BAD"/>
    <w:rsid w:val="004A0BEB"/>
    <w:rsid w:val="004A0BF1"/>
    <w:rsid w:val="004A0CCF"/>
    <w:rsid w:val="004A0D58"/>
    <w:rsid w:val="004A1011"/>
    <w:rsid w:val="004A1083"/>
    <w:rsid w:val="004A16CD"/>
    <w:rsid w:val="004A20F9"/>
    <w:rsid w:val="004A221D"/>
    <w:rsid w:val="004A2897"/>
    <w:rsid w:val="004A2AEE"/>
    <w:rsid w:val="004A2DAF"/>
    <w:rsid w:val="004A3100"/>
    <w:rsid w:val="004A34AA"/>
    <w:rsid w:val="004A356D"/>
    <w:rsid w:val="004A3B7E"/>
    <w:rsid w:val="004A3CD4"/>
    <w:rsid w:val="004A4435"/>
    <w:rsid w:val="004A4B38"/>
    <w:rsid w:val="004A4FAD"/>
    <w:rsid w:val="004A50EA"/>
    <w:rsid w:val="004A5744"/>
    <w:rsid w:val="004A57CA"/>
    <w:rsid w:val="004A5D9C"/>
    <w:rsid w:val="004A60D7"/>
    <w:rsid w:val="004A66B8"/>
    <w:rsid w:val="004A6A5F"/>
    <w:rsid w:val="004A6E2E"/>
    <w:rsid w:val="004A7258"/>
    <w:rsid w:val="004A7830"/>
    <w:rsid w:val="004A79A6"/>
    <w:rsid w:val="004A79E6"/>
    <w:rsid w:val="004A7B45"/>
    <w:rsid w:val="004A7BE7"/>
    <w:rsid w:val="004B00F4"/>
    <w:rsid w:val="004B0457"/>
    <w:rsid w:val="004B05C1"/>
    <w:rsid w:val="004B08BA"/>
    <w:rsid w:val="004B0B93"/>
    <w:rsid w:val="004B11D6"/>
    <w:rsid w:val="004B12CA"/>
    <w:rsid w:val="004B137F"/>
    <w:rsid w:val="004B1542"/>
    <w:rsid w:val="004B1F89"/>
    <w:rsid w:val="004B239E"/>
    <w:rsid w:val="004B23E1"/>
    <w:rsid w:val="004B3414"/>
    <w:rsid w:val="004B3440"/>
    <w:rsid w:val="004B3A58"/>
    <w:rsid w:val="004B3B38"/>
    <w:rsid w:val="004B3CB4"/>
    <w:rsid w:val="004B437F"/>
    <w:rsid w:val="004B43E6"/>
    <w:rsid w:val="004B4753"/>
    <w:rsid w:val="004B5051"/>
    <w:rsid w:val="004B599F"/>
    <w:rsid w:val="004B618D"/>
    <w:rsid w:val="004B6677"/>
    <w:rsid w:val="004B6B56"/>
    <w:rsid w:val="004B6C83"/>
    <w:rsid w:val="004B7023"/>
    <w:rsid w:val="004B737B"/>
    <w:rsid w:val="004B73AF"/>
    <w:rsid w:val="004B7F23"/>
    <w:rsid w:val="004C05EE"/>
    <w:rsid w:val="004C2283"/>
    <w:rsid w:val="004C2999"/>
    <w:rsid w:val="004C2A4B"/>
    <w:rsid w:val="004C33A5"/>
    <w:rsid w:val="004C376E"/>
    <w:rsid w:val="004C3BF8"/>
    <w:rsid w:val="004C3F69"/>
    <w:rsid w:val="004C40C3"/>
    <w:rsid w:val="004C4371"/>
    <w:rsid w:val="004C4B2B"/>
    <w:rsid w:val="004C4B7F"/>
    <w:rsid w:val="004C4C7E"/>
    <w:rsid w:val="004C4CC3"/>
    <w:rsid w:val="004C5635"/>
    <w:rsid w:val="004C5662"/>
    <w:rsid w:val="004C5A21"/>
    <w:rsid w:val="004C5ADD"/>
    <w:rsid w:val="004C5CE3"/>
    <w:rsid w:val="004C5F73"/>
    <w:rsid w:val="004C662A"/>
    <w:rsid w:val="004C6708"/>
    <w:rsid w:val="004C675A"/>
    <w:rsid w:val="004C70DC"/>
    <w:rsid w:val="004C7384"/>
    <w:rsid w:val="004C7410"/>
    <w:rsid w:val="004C75CE"/>
    <w:rsid w:val="004C7706"/>
    <w:rsid w:val="004C7E44"/>
    <w:rsid w:val="004C7F84"/>
    <w:rsid w:val="004D0133"/>
    <w:rsid w:val="004D06E5"/>
    <w:rsid w:val="004D07E7"/>
    <w:rsid w:val="004D115C"/>
    <w:rsid w:val="004D1599"/>
    <w:rsid w:val="004D1D8B"/>
    <w:rsid w:val="004D1E12"/>
    <w:rsid w:val="004D1E28"/>
    <w:rsid w:val="004D2223"/>
    <w:rsid w:val="004D228B"/>
    <w:rsid w:val="004D2667"/>
    <w:rsid w:val="004D2AB4"/>
    <w:rsid w:val="004D2CC8"/>
    <w:rsid w:val="004D30D4"/>
    <w:rsid w:val="004D33D8"/>
    <w:rsid w:val="004D372A"/>
    <w:rsid w:val="004D372D"/>
    <w:rsid w:val="004D3846"/>
    <w:rsid w:val="004D38F9"/>
    <w:rsid w:val="004D4329"/>
    <w:rsid w:val="004D49C8"/>
    <w:rsid w:val="004D4CD0"/>
    <w:rsid w:val="004D5B68"/>
    <w:rsid w:val="004D5B9D"/>
    <w:rsid w:val="004D6123"/>
    <w:rsid w:val="004D61B4"/>
    <w:rsid w:val="004D6485"/>
    <w:rsid w:val="004D64B4"/>
    <w:rsid w:val="004D6B2D"/>
    <w:rsid w:val="004D71C4"/>
    <w:rsid w:val="004D7815"/>
    <w:rsid w:val="004D7878"/>
    <w:rsid w:val="004D7B91"/>
    <w:rsid w:val="004E0417"/>
    <w:rsid w:val="004E0B02"/>
    <w:rsid w:val="004E1B62"/>
    <w:rsid w:val="004E1CFD"/>
    <w:rsid w:val="004E28E2"/>
    <w:rsid w:val="004E294F"/>
    <w:rsid w:val="004E3012"/>
    <w:rsid w:val="004E402A"/>
    <w:rsid w:val="004E496F"/>
    <w:rsid w:val="004E5222"/>
    <w:rsid w:val="004E586D"/>
    <w:rsid w:val="004E5DA5"/>
    <w:rsid w:val="004E6167"/>
    <w:rsid w:val="004E64A6"/>
    <w:rsid w:val="004E64C6"/>
    <w:rsid w:val="004E6EE0"/>
    <w:rsid w:val="004E70B3"/>
    <w:rsid w:val="004E76C6"/>
    <w:rsid w:val="004E7D4B"/>
    <w:rsid w:val="004E7F0C"/>
    <w:rsid w:val="004E7F8F"/>
    <w:rsid w:val="004F02B3"/>
    <w:rsid w:val="004F0DF4"/>
    <w:rsid w:val="004F145B"/>
    <w:rsid w:val="004F1AA3"/>
    <w:rsid w:val="004F1D33"/>
    <w:rsid w:val="004F1F2A"/>
    <w:rsid w:val="004F2BA3"/>
    <w:rsid w:val="004F2E96"/>
    <w:rsid w:val="004F3137"/>
    <w:rsid w:val="004F357C"/>
    <w:rsid w:val="004F3673"/>
    <w:rsid w:val="004F39EB"/>
    <w:rsid w:val="004F3B70"/>
    <w:rsid w:val="004F3B7A"/>
    <w:rsid w:val="004F426C"/>
    <w:rsid w:val="004F43E7"/>
    <w:rsid w:val="004F4E79"/>
    <w:rsid w:val="004F502E"/>
    <w:rsid w:val="004F569D"/>
    <w:rsid w:val="004F582B"/>
    <w:rsid w:val="004F5848"/>
    <w:rsid w:val="004F6567"/>
    <w:rsid w:val="004F6879"/>
    <w:rsid w:val="004F6922"/>
    <w:rsid w:val="004F6D0E"/>
    <w:rsid w:val="004F7436"/>
    <w:rsid w:val="004F75CB"/>
    <w:rsid w:val="005000C2"/>
    <w:rsid w:val="005003A8"/>
    <w:rsid w:val="00500542"/>
    <w:rsid w:val="005006EC"/>
    <w:rsid w:val="00500A1F"/>
    <w:rsid w:val="00500BC4"/>
    <w:rsid w:val="005014D0"/>
    <w:rsid w:val="00501643"/>
    <w:rsid w:val="005018D7"/>
    <w:rsid w:val="00501A2A"/>
    <w:rsid w:val="00501E14"/>
    <w:rsid w:val="00501F94"/>
    <w:rsid w:val="00502238"/>
    <w:rsid w:val="00502872"/>
    <w:rsid w:val="0050291D"/>
    <w:rsid w:val="00502AD5"/>
    <w:rsid w:val="00502B22"/>
    <w:rsid w:val="00502EE3"/>
    <w:rsid w:val="00503113"/>
    <w:rsid w:val="005039F8"/>
    <w:rsid w:val="00503FB0"/>
    <w:rsid w:val="0050403F"/>
    <w:rsid w:val="00504443"/>
    <w:rsid w:val="0050502C"/>
    <w:rsid w:val="0050541E"/>
    <w:rsid w:val="00505710"/>
    <w:rsid w:val="005058D7"/>
    <w:rsid w:val="00506260"/>
    <w:rsid w:val="00506B91"/>
    <w:rsid w:val="0050745A"/>
    <w:rsid w:val="005074CA"/>
    <w:rsid w:val="0050762E"/>
    <w:rsid w:val="00507E20"/>
    <w:rsid w:val="005100DF"/>
    <w:rsid w:val="00510504"/>
    <w:rsid w:val="005113F4"/>
    <w:rsid w:val="00511710"/>
    <w:rsid w:val="00511715"/>
    <w:rsid w:val="00511AF5"/>
    <w:rsid w:val="00512079"/>
    <w:rsid w:val="005129B6"/>
    <w:rsid w:val="00512CA2"/>
    <w:rsid w:val="00512DA5"/>
    <w:rsid w:val="00512F7D"/>
    <w:rsid w:val="0051344C"/>
    <w:rsid w:val="00513B11"/>
    <w:rsid w:val="00513FCA"/>
    <w:rsid w:val="00514555"/>
    <w:rsid w:val="0051455E"/>
    <w:rsid w:val="00514926"/>
    <w:rsid w:val="00514C56"/>
    <w:rsid w:val="0051518E"/>
    <w:rsid w:val="00515439"/>
    <w:rsid w:val="0051569B"/>
    <w:rsid w:val="0051606E"/>
    <w:rsid w:val="0051627F"/>
    <w:rsid w:val="00516B1C"/>
    <w:rsid w:val="00516DB7"/>
    <w:rsid w:val="00517A60"/>
    <w:rsid w:val="00517B70"/>
    <w:rsid w:val="00517CC1"/>
    <w:rsid w:val="00521375"/>
    <w:rsid w:val="005213E7"/>
    <w:rsid w:val="00521B05"/>
    <w:rsid w:val="00522083"/>
    <w:rsid w:val="005224E5"/>
    <w:rsid w:val="00522940"/>
    <w:rsid w:val="00522D56"/>
    <w:rsid w:val="00523485"/>
    <w:rsid w:val="00523B14"/>
    <w:rsid w:val="00523F2B"/>
    <w:rsid w:val="005245A5"/>
    <w:rsid w:val="005245B4"/>
    <w:rsid w:val="005255FA"/>
    <w:rsid w:val="00525D3A"/>
    <w:rsid w:val="005263E1"/>
    <w:rsid w:val="00526C82"/>
    <w:rsid w:val="00526F48"/>
    <w:rsid w:val="005271E0"/>
    <w:rsid w:val="005272B0"/>
    <w:rsid w:val="00527707"/>
    <w:rsid w:val="005279BB"/>
    <w:rsid w:val="00530199"/>
    <w:rsid w:val="005306AB"/>
    <w:rsid w:val="00530913"/>
    <w:rsid w:val="00530EA3"/>
    <w:rsid w:val="00530F96"/>
    <w:rsid w:val="0053131E"/>
    <w:rsid w:val="00531E91"/>
    <w:rsid w:val="00531EE2"/>
    <w:rsid w:val="0053226D"/>
    <w:rsid w:val="00532553"/>
    <w:rsid w:val="00532924"/>
    <w:rsid w:val="00532D32"/>
    <w:rsid w:val="00533302"/>
    <w:rsid w:val="005335AB"/>
    <w:rsid w:val="00533776"/>
    <w:rsid w:val="00533807"/>
    <w:rsid w:val="00533905"/>
    <w:rsid w:val="00533BF8"/>
    <w:rsid w:val="00533D2D"/>
    <w:rsid w:val="0053495F"/>
    <w:rsid w:val="005349A3"/>
    <w:rsid w:val="00535594"/>
    <w:rsid w:val="005355D4"/>
    <w:rsid w:val="00535E3A"/>
    <w:rsid w:val="00536C1F"/>
    <w:rsid w:val="00536C97"/>
    <w:rsid w:val="00536FE3"/>
    <w:rsid w:val="005372B2"/>
    <w:rsid w:val="005375CC"/>
    <w:rsid w:val="005377C4"/>
    <w:rsid w:val="00537CF0"/>
    <w:rsid w:val="005405D9"/>
    <w:rsid w:val="00540992"/>
    <w:rsid w:val="00540CE0"/>
    <w:rsid w:val="005410BD"/>
    <w:rsid w:val="005414E1"/>
    <w:rsid w:val="00541548"/>
    <w:rsid w:val="0054174A"/>
    <w:rsid w:val="00542127"/>
    <w:rsid w:val="00542607"/>
    <w:rsid w:val="005428C4"/>
    <w:rsid w:val="00543299"/>
    <w:rsid w:val="00544D3D"/>
    <w:rsid w:val="0054589D"/>
    <w:rsid w:val="00545E22"/>
    <w:rsid w:val="0054603B"/>
    <w:rsid w:val="005464BF"/>
    <w:rsid w:val="00546B04"/>
    <w:rsid w:val="00546B78"/>
    <w:rsid w:val="00546BC4"/>
    <w:rsid w:val="0054729F"/>
    <w:rsid w:val="005479B5"/>
    <w:rsid w:val="00550018"/>
    <w:rsid w:val="00550034"/>
    <w:rsid w:val="005500E2"/>
    <w:rsid w:val="0055019F"/>
    <w:rsid w:val="00550240"/>
    <w:rsid w:val="0055034A"/>
    <w:rsid w:val="00550767"/>
    <w:rsid w:val="0055097A"/>
    <w:rsid w:val="00551417"/>
    <w:rsid w:val="005516B2"/>
    <w:rsid w:val="00551963"/>
    <w:rsid w:val="005519D3"/>
    <w:rsid w:val="00552B88"/>
    <w:rsid w:val="005536BF"/>
    <w:rsid w:val="005536CE"/>
    <w:rsid w:val="0055372C"/>
    <w:rsid w:val="00553838"/>
    <w:rsid w:val="00554686"/>
    <w:rsid w:val="005549FE"/>
    <w:rsid w:val="00554BDD"/>
    <w:rsid w:val="00554C3E"/>
    <w:rsid w:val="00554C76"/>
    <w:rsid w:val="00555571"/>
    <w:rsid w:val="00555784"/>
    <w:rsid w:val="005559E2"/>
    <w:rsid w:val="00555BF1"/>
    <w:rsid w:val="00555DE6"/>
    <w:rsid w:val="00556031"/>
    <w:rsid w:val="0055676B"/>
    <w:rsid w:val="00556B92"/>
    <w:rsid w:val="00556E1A"/>
    <w:rsid w:val="00556EE3"/>
    <w:rsid w:val="00556F98"/>
    <w:rsid w:val="00557127"/>
    <w:rsid w:val="005573BD"/>
    <w:rsid w:val="0055784E"/>
    <w:rsid w:val="005601AB"/>
    <w:rsid w:val="005601BC"/>
    <w:rsid w:val="00560400"/>
    <w:rsid w:val="00560DF9"/>
    <w:rsid w:val="0056115F"/>
    <w:rsid w:val="00561569"/>
    <w:rsid w:val="0056178F"/>
    <w:rsid w:val="00561CE2"/>
    <w:rsid w:val="005624C4"/>
    <w:rsid w:val="00562D7F"/>
    <w:rsid w:val="00563700"/>
    <w:rsid w:val="0056394D"/>
    <w:rsid w:val="00563A14"/>
    <w:rsid w:val="00563FC7"/>
    <w:rsid w:val="00564749"/>
    <w:rsid w:val="0056498B"/>
    <w:rsid w:val="00564CC6"/>
    <w:rsid w:val="00565605"/>
    <w:rsid w:val="00565E2C"/>
    <w:rsid w:val="00565ED8"/>
    <w:rsid w:val="005660BF"/>
    <w:rsid w:val="00566355"/>
    <w:rsid w:val="005668EC"/>
    <w:rsid w:val="00566B52"/>
    <w:rsid w:val="005670BA"/>
    <w:rsid w:val="00570B54"/>
    <w:rsid w:val="00570C5E"/>
    <w:rsid w:val="00570DD9"/>
    <w:rsid w:val="00571629"/>
    <w:rsid w:val="0057167D"/>
    <w:rsid w:val="0057173D"/>
    <w:rsid w:val="005717AE"/>
    <w:rsid w:val="00572051"/>
    <w:rsid w:val="005726C2"/>
    <w:rsid w:val="00572808"/>
    <w:rsid w:val="00572BF9"/>
    <w:rsid w:val="00573133"/>
    <w:rsid w:val="00573375"/>
    <w:rsid w:val="005735B0"/>
    <w:rsid w:val="0057376A"/>
    <w:rsid w:val="005741E1"/>
    <w:rsid w:val="00574371"/>
    <w:rsid w:val="005746F5"/>
    <w:rsid w:val="0057528B"/>
    <w:rsid w:val="0057564B"/>
    <w:rsid w:val="00575729"/>
    <w:rsid w:val="005763A5"/>
    <w:rsid w:val="00576D73"/>
    <w:rsid w:val="005778DF"/>
    <w:rsid w:val="005809A6"/>
    <w:rsid w:val="00580C9E"/>
    <w:rsid w:val="00580E07"/>
    <w:rsid w:val="00581137"/>
    <w:rsid w:val="005815AE"/>
    <w:rsid w:val="005816EE"/>
    <w:rsid w:val="005820D8"/>
    <w:rsid w:val="00582151"/>
    <w:rsid w:val="0058244E"/>
    <w:rsid w:val="0058289E"/>
    <w:rsid w:val="00582C7F"/>
    <w:rsid w:val="00582F3F"/>
    <w:rsid w:val="0058305A"/>
    <w:rsid w:val="00583810"/>
    <w:rsid w:val="00583AC9"/>
    <w:rsid w:val="00583F6D"/>
    <w:rsid w:val="00584561"/>
    <w:rsid w:val="005857BA"/>
    <w:rsid w:val="005859FF"/>
    <w:rsid w:val="005862EF"/>
    <w:rsid w:val="0058649F"/>
    <w:rsid w:val="005865AC"/>
    <w:rsid w:val="00586BA6"/>
    <w:rsid w:val="0058723F"/>
    <w:rsid w:val="005872DE"/>
    <w:rsid w:val="00587462"/>
    <w:rsid w:val="0058765F"/>
    <w:rsid w:val="00587855"/>
    <w:rsid w:val="0058793C"/>
    <w:rsid w:val="005879CF"/>
    <w:rsid w:val="00587AE1"/>
    <w:rsid w:val="0059005C"/>
    <w:rsid w:val="00590100"/>
    <w:rsid w:val="00590287"/>
    <w:rsid w:val="005903B2"/>
    <w:rsid w:val="00590C2B"/>
    <w:rsid w:val="00591263"/>
    <w:rsid w:val="0059216D"/>
    <w:rsid w:val="00592D07"/>
    <w:rsid w:val="00592DB2"/>
    <w:rsid w:val="00592EDB"/>
    <w:rsid w:val="0059305C"/>
    <w:rsid w:val="005930F0"/>
    <w:rsid w:val="005931E5"/>
    <w:rsid w:val="005933BE"/>
    <w:rsid w:val="00593518"/>
    <w:rsid w:val="005936F5"/>
    <w:rsid w:val="00593B29"/>
    <w:rsid w:val="00593DEA"/>
    <w:rsid w:val="005943D8"/>
    <w:rsid w:val="00594550"/>
    <w:rsid w:val="005946E5"/>
    <w:rsid w:val="00594929"/>
    <w:rsid w:val="0059495D"/>
    <w:rsid w:val="00594D99"/>
    <w:rsid w:val="005958FF"/>
    <w:rsid w:val="00595D2A"/>
    <w:rsid w:val="00596E0C"/>
    <w:rsid w:val="00596E2F"/>
    <w:rsid w:val="005970A6"/>
    <w:rsid w:val="005970B1"/>
    <w:rsid w:val="00597400"/>
    <w:rsid w:val="00597865"/>
    <w:rsid w:val="005A0287"/>
    <w:rsid w:val="005A057D"/>
    <w:rsid w:val="005A0FFF"/>
    <w:rsid w:val="005A120D"/>
    <w:rsid w:val="005A1332"/>
    <w:rsid w:val="005A1680"/>
    <w:rsid w:val="005A178C"/>
    <w:rsid w:val="005A182E"/>
    <w:rsid w:val="005A1A8B"/>
    <w:rsid w:val="005A1BBF"/>
    <w:rsid w:val="005A1E73"/>
    <w:rsid w:val="005A20DE"/>
    <w:rsid w:val="005A2240"/>
    <w:rsid w:val="005A22F9"/>
    <w:rsid w:val="005A2645"/>
    <w:rsid w:val="005A276D"/>
    <w:rsid w:val="005A36B9"/>
    <w:rsid w:val="005A3807"/>
    <w:rsid w:val="005A3A88"/>
    <w:rsid w:val="005A4B13"/>
    <w:rsid w:val="005A4B4C"/>
    <w:rsid w:val="005A4E86"/>
    <w:rsid w:val="005A5273"/>
    <w:rsid w:val="005A6BB6"/>
    <w:rsid w:val="005A72C6"/>
    <w:rsid w:val="005A74EC"/>
    <w:rsid w:val="005A75ED"/>
    <w:rsid w:val="005A760B"/>
    <w:rsid w:val="005A76EB"/>
    <w:rsid w:val="005A773A"/>
    <w:rsid w:val="005A7916"/>
    <w:rsid w:val="005A7EFB"/>
    <w:rsid w:val="005B0355"/>
    <w:rsid w:val="005B055E"/>
    <w:rsid w:val="005B194D"/>
    <w:rsid w:val="005B196F"/>
    <w:rsid w:val="005B19A9"/>
    <w:rsid w:val="005B19F9"/>
    <w:rsid w:val="005B2006"/>
    <w:rsid w:val="005B2C3C"/>
    <w:rsid w:val="005B2D67"/>
    <w:rsid w:val="005B2FDF"/>
    <w:rsid w:val="005B30DA"/>
    <w:rsid w:val="005B3619"/>
    <w:rsid w:val="005B3656"/>
    <w:rsid w:val="005B36A8"/>
    <w:rsid w:val="005B3A74"/>
    <w:rsid w:val="005B45D6"/>
    <w:rsid w:val="005B463B"/>
    <w:rsid w:val="005B4964"/>
    <w:rsid w:val="005B4988"/>
    <w:rsid w:val="005B5211"/>
    <w:rsid w:val="005B5A44"/>
    <w:rsid w:val="005B5E98"/>
    <w:rsid w:val="005B62F7"/>
    <w:rsid w:val="005B67E1"/>
    <w:rsid w:val="005B70DD"/>
    <w:rsid w:val="005B714F"/>
    <w:rsid w:val="005B7159"/>
    <w:rsid w:val="005B7407"/>
    <w:rsid w:val="005B74BF"/>
    <w:rsid w:val="005B768D"/>
    <w:rsid w:val="005B7981"/>
    <w:rsid w:val="005B7B3D"/>
    <w:rsid w:val="005B7DBF"/>
    <w:rsid w:val="005C0854"/>
    <w:rsid w:val="005C0D3F"/>
    <w:rsid w:val="005C1770"/>
    <w:rsid w:val="005C33E3"/>
    <w:rsid w:val="005C3B50"/>
    <w:rsid w:val="005C3BCA"/>
    <w:rsid w:val="005C4709"/>
    <w:rsid w:val="005C488D"/>
    <w:rsid w:val="005C52CE"/>
    <w:rsid w:val="005C5343"/>
    <w:rsid w:val="005C55E7"/>
    <w:rsid w:val="005C571F"/>
    <w:rsid w:val="005C6C7E"/>
    <w:rsid w:val="005C6E7D"/>
    <w:rsid w:val="005C6FDA"/>
    <w:rsid w:val="005C7033"/>
    <w:rsid w:val="005C727B"/>
    <w:rsid w:val="005C74CF"/>
    <w:rsid w:val="005C7B63"/>
    <w:rsid w:val="005C7D31"/>
    <w:rsid w:val="005D0F13"/>
    <w:rsid w:val="005D1875"/>
    <w:rsid w:val="005D204F"/>
    <w:rsid w:val="005D2238"/>
    <w:rsid w:val="005D23A9"/>
    <w:rsid w:val="005D2415"/>
    <w:rsid w:val="005D2874"/>
    <w:rsid w:val="005D28FB"/>
    <w:rsid w:val="005D3074"/>
    <w:rsid w:val="005D325E"/>
    <w:rsid w:val="005D35C4"/>
    <w:rsid w:val="005D363B"/>
    <w:rsid w:val="005D382C"/>
    <w:rsid w:val="005D3ED5"/>
    <w:rsid w:val="005D4159"/>
    <w:rsid w:val="005D4163"/>
    <w:rsid w:val="005D422F"/>
    <w:rsid w:val="005D43C6"/>
    <w:rsid w:val="005D43F5"/>
    <w:rsid w:val="005D4576"/>
    <w:rsid w:val="005D45D2"/>
    <w:rsid w:val="005D488A"/>
    <w:rsid w:val="005D49B2"/>
    <w:rsid w:val="005D4EAE"/>
    <w:rsid w:val="005D5E9F"/>
    <w:rsid w:val="005D5ED0"/>
    <w:rsid w:val="005D6045"/>
    <w:rsid w:val="005D621F"/>
    <w:rsid w:val="005D6D94"/>
    <w:rsid w:val="005D7B5D"/>
    <w:rsid w:val="005D7BC8"/>
    <w:rsid w:val="005D7C8C"/>
    <w:rsid w:val="005D7DC9"/>
    <w:rsid w:val="005D7DCE"/>
    <w:rsid w:val="005D7ED3"/>
    <w:rsid w:val="005E006D"/>
    <w:rsid w:val="005E016C"/>
    <w:rsid w:val="005E0279"/>
    <w:rsid w:val="005E07B3"/>
    <w:rsid w:val="005E0858"/>
    <w:rsid w:val="005E0E38"/>
    <w:rsid w:val="005E11A5"/>
    <w:rsid w:val="005E134B"/>
    <w:rsid w:val="005E1E9D"/>
    <w:rsid w:val="005E1EDE"/>
    <w:rsid w:val="005E2C19"/>
    <w:rsid w:val="005E2D8D"/>
    <w:rsid w:val="005E2E3A"/>
    <w:rsid w:val="005E2FA4"/>
    <w:rsid w:val="005E316F"/>
    <w:rsid w:val="005E3BAF"/>
    <w:rsid w:val="005E3F51"/>
    <w:rsid w:val="005E455F"/>
    <w:rsid w:val="005E479B"/>
    <w:rsid w:val="005E4941"/>
    <w:rsid w:val="005E4E2F"/>
    <w:rsid w:val="005E52E9"/>
    <w:rsid w:val="005E53D4"/>
    <w:rsid w:val="005E5F29"/>
    <w:rsid w:val="005E6409"/>
    <w:rsid w:val="005E6AE7"/>
    <w:rsid w:val="005E6C7C"/>
    <w:rsid w:val="005E6E2F"/>
    <w:rsid w:val="005E72F5"/>
    <w:rsid w:val="005E7754"/>
    <w:rsid w:val="005F0475"/>
    <w:rsid w:val="005F065B"/>
    <w:rsid w:val="005F078D"/>
    <w:rsid w:val="005F079B"/>
    <w:rsid w:val="005F08DC"/>
    <w:rsid w:val="005F09E9"/>
    <w:rsid w:val="005F0F06"/>
    <w:rsid w:val="005F0FF7"/>
    <w:rsid w:val="005F11B2"/>
    <w:rsid w:val="005F1300"/>
    <w:rsid w:val="005F1813"/>
    <w:rsid w:val="005F2301"/>
    <w:rsid w:val="005F27E0"/>
    <w:rsid w:val="005F2C15"/>
    <w:rsid w:val="005F3219"/>
    <w:rsid w:val="005F3302"/>
    <w:rsid w:val="005F35BE"/>
    <w:rsid w:val="005F390B"/>
    <w:rsid w:val="005F4557"/>
    <w:rsid w:val="005F484D"/>
    <w:rsid w:val="005F485B"/>
    <w:rsid w:val="005F4AA8"/>
    <w:rsid w:val="005F4BCD"/>
    <w:rsid w:val="005F4D90"/>
    <w:rsid w:val="005F4F2C"/>
    <w:rsid w:val="005F51A4"/>
    <w:rsid w:val="005F52AC"/>
    <w:rsid w:val="005F5555"/>
    <w:rsid w:val="005F56D9"/>
    <w:rsid w:val="005F572B"/>
    <w:rsid w:val="005F5898"/>
    <w:rsid w:val="005F61B0"/>
    <w:rsid w:val="005F652C"/>
    <w:rsid w:val="005F670C"/>
    <w:rsid w:val="005F6B1D"/>
    <w:rsid w:val="005F70AF"/>
    <w:rsid w:val="005F72FA"/>
    <w:rsid w:val="005F746C"/>
    <w:rsid w:val="005F797D"/>
    <w:rsid w:val="005F7BCF"/>
    <w:rsid w:val="005F7FE0"/>
    <w:rsid w:val="006005F0"/>
    <w:rsid w:val="006007B3"/>
    <w:rsid w:val="006009A9"/>
    <w:rsid w:val="00600BD8"/>
    <w:rsid w:val="00600C28"/>
    <w:rsid w:val="0060144A"/>
    <w:rsid w:val="006015D4"/>
    <w:rsid w:val="00601A45"/>
    <w:rsid w:val="00601B4F"/>
    <w:rsid w:val="00601C65"/>
    <w:rsid w:val="00601DF8"/>
    <w:rsid w:val="00601F67"/>
    <w:rsid w:val="00602317"/>
    <w:rsid w:val="006029B0"/>
    <w:rsid w:val="00602F20"/>
    <w:rsid w:val="0060320D"/>
    <w:rsid w:val="006035A1"/>
    <w:rsid w:val="00603A99"/>
    <w:rsid w:val="006040BB"/>
    <w:rsid w:val="00604B52"/>
    <w:rsid w:val="0060533A"/>
    <w:rsid w:val="006053E8"/>
    <w:rsid w:val="0060547B"/>
    <w:rsid w:val="00605874"/>
    <w:rsid w:val="0060596A"/>
    <w:rsid w:val="00605998"/>
    <w:rsid w:val="00605FC5"/>
    <w:rsid w:val="006060AE"/>
    <w:rsid w:val="0060626C"/>
    <w:rsid w:val="006065ED"/>
    <w:rsid w:val="006066E6"/>
    <w:rsid w:val="00606D37"/>
    <w:rsid w:val="006070C3"/>
    <w:rsid w:val="00607488"/>
    <w:rsid w:val="00607C66"/>
    <w:rsid w:val="006103CC"/>
    <w:rsid w:val="0061048F"/>
    <w:rsid w:val="006104A7"/>
    <w:rsid w:val="00611456"/>
    <w:rsid w:val="006116D0"/>
    <w:rsid w:val="00611855"/>
    <w:rsid w:val="006126CC"/>
    <w:rsid w:val="006127D8"/>
    <w:rsid w:val="00612AC2"/>
    <w:rsid w:val="00613549"/>
    <w:rsid w:val="006136E9"/>
    <w:rsid w:val="00613887"/>
    <w:rsid w:val="00614264"/>
    <w:rsid w:val="0061428E"/>
    <w:rsid w:val="006143F1"/>
    <w:rsid w:val="00614B21"/>
    <w:rsid w:val="00614C36"/>
    <w:rsid w:val="00614ED1"/>
    <w:rsid w:val="00614EEF"/>
    <w:rsid w:val="006153BB"/>
    <w:rsid w:val="006156BD"/>
    <w:rsid w:val="00615B78"/>
    <w:rsid w:val="00615D96"/>
    <w:rsid w:val="00615E26"/>
    <w:rsid w:val="006162B7"/>
    <w:rsid w:val="006167EB"/>
    <w:rsid w:val="006168E1"/>
    <w:rsid w:val="00617136"/>
    <w:rsid w:val="0061724C"/>
    <w:rsid w:val="00617591"/>
    <w:rsid w:val="0061778B"/>
    <w:rsid w:val="006178F2"/>
    <w:rsid w:val="00617DB7"/>
    <w:rsid w:val="00617FD3"/>
    <w:rsid w:val="00617FD9"/>
    <w:rsid w:val="0062014C"/>
    <w:rsid w:val="0062046A"/>
    <w:rsid w:val="00620B6D"/>
    <w:rsid w:val="00620B70"/>
    <w:rsid w:val="00620C41"/>
    <w:rsid w:val="00620CAA"/>
    <w:rsid w:val="00620CEA"/>
    <w:rsid w:val="00620D84"/>
    <w:rsid w:val="00620DC0"/>
    <w:rsid w:val="00621166"/>
    <w:rsid w:val="006213AD"/>
    <w:rsid w:val="006215F4"/>
    <w:rsid w:val="00621832"/>
    <w:rsid w:val="00621AD9"/>
    <w:rsid w:val="0062203E"/>
    <w:rsid w:val="006225CF"/>
    <w:rsid w:val="00622827"/>
    <w:rsid w:val="006230FD"/>
    <w:rsid w:val="00623450"/>
    <w:rsid w:val="00623A2D"/>
    <w:rsid w:val="00623C25"/>
    <w:rsid w:val="006246CC"/>
    <w:rsid w:val="00624739"/>
    <w:rsid w:val="006248C8"/>
    <w:rsid w:val="00624999"/>
    <w:rsid w:val="00624A28"/>
    <w:rsid w:val="00624A92"/>
    <w:rsid w:val="00625368"/>
    <w:rsid w:val="00626158"/>
    <w:rsid w:val="00626A19"/>
    <w:rsid w:val="006271DC"/>
    <w:rsid w:val="006271E8"/>
    <w:rsid w:val="00627659"/>
    <w:rsid w:val="00627D40"/>
    <w:rsid w:val="006304BB"/>
    <w:rsid w:val="006307EB"/>
    <w:rsid w:val="0063190A"/>
    <w:rsid w:val="0063215C"/>
    <w:rsid w:val="00632332"/>
    <w:rsid w:val="00632AF0"/>
    <w:rsid w:val="00632C7A"/>
    <w:rsid w:val="00632CE4"/>
    <w:rsid w:val="006332BF"/>
    <w:rsid w:val="00633387"/>
    <w:rsid w:val="006333F0"/>
    <w:rsid w:val="0063351E"/>
    <w:rsid w:val="00633A4D"/>
    <w:rsid w:val="0063411C"/>
    <w:rsid w:val="006346E9"/>
    <w:rsid w:val="00634747"/>
    <w:rsid w:val="0063482F"/>
    <w:rsid w:val="00635353"/>
    <w:rsid w:val="00635417"/>
    <w:rsid w:val="0063583F"/>
    <w:rsid w:val="006359C9"/>
    <w:rsid w:val="00635C1D"/>
    <w:rsid w:val="00635D69"/>
    <w:rsid w:val="00635D81"/>
    <w:rsid w:val="00635F2D"/>
    <w:rsid w:val="0063612A"/>
    <w:rsid w:val="00636622"/>
    <w:rsid w:val="006366A7"/>
    <w:rsid w:val="00636A46"/>
    <w:rsid w:val="0063730C"/>
    <w:rsid w:val="006402EE"/>
    <w:rsid w:val="00640CEE"/>
    <w:rsid w:val="00640FFF"/>
    <w:rsid w:val="00641237"/>
    <w:rsid w:val="0064124D"/>
    <w:rsid w:val="006415B2"/>
    <w:rsid w:val="00641669"/>
    <w:rsid w:val="0064177C"/>
    <w:rsid w:val="00641C3F"/>
    <w:rsid w:val="00641D09"/>
    <w:rsid w:val="00641D71"/>
    <w:rsid w:val="00641F92"/>
    <w:rsid w:val="00642462"/>
    <w:rsid w:val="00642AF3"/>
    <w:rsid w:val="00642CC1"/>
    <w:rsid w:val="00642E68"/>
    <w:rsid w:val="00642F24"/>
    <w:rsid w:val="00643405"/>
    <w:rsid w:val="00643B7F"/>
    <w:rsid w:val="00643F0F"/>
    <w:rsid w:val="00643FAB"/>
    <w:rsid w:val="00644165"/>
    <w:rsid w:val="006456D6"/>
    <w:rsid w:val="006461F8"/>
    <w:rsid w:val="006463DA"/>
    <w:rsid w:val="006468D6"/>
    <w:rsid w:val="006469D3"/>
    <w:rsid w:val="00646F01"/>
    <w:rsid w:val="00647339"/>
    <w:rsid w:val="00647633"/>
    <w:rsid w:val="00647776"/>
    <w:rsid w:val="0064786E"/>
    <w:rsid w:val="006478B4"/>
    <w:rsid w:val="00647A6C"/>
    <w:rsid w:val="00647A74"/>
    <w:rsid w:val="00647E3A"/>
    <w:rsid w:val="006505EA"/>
    <w:rsid w:val="00650CF7"/>
    <w:rsid w:val="006510AA"/>
    <w:rsid w:val="00651254"/>
    <w:rsid w:val="0065146A"/>
    <w:rsid w:val="00651696"/>
    <w:rsid w:val="00651BA4"/>
    <w:rsid w:val="00651D68"/>
    <w:rsid w:val="00651FFB"/>
    <w:rsid w:val="00652011"/>
    <w:rsid w:val="00652013"/>
    <w:rsid w:val="00652280"/>
    <w:rsid w:val="006523DA"/>
    <w:rsid w:val="0065273E"/>
    <w:rsid w:val="00652AA8"/>
    <w:rsid w:val="00652EBB"/>
    <w:rsid w:val="00652F39"/>
    <w:rsid w:val="00653465"/>
    <w:rsid w:val="00653509"/>
    <w:rsid w:val="006540F7"/>
    <w:rsid w:val="006547D1"/>
    <w:rsid w:val="00654BE8"/>
    <w:rsid w:val="00655215"/>
    <w:rsid w:val="00655288"/>
    <w:rsid w:val="006553E1"/>
    <w:rsid w:val="006554C8"/>
    <w:rsid w:val="006555F1"/>
    <w:rsid w:val="00655799"/>
    <w:rsid w:val="0065599A"/>
    <w:rsid w:val="00655C42"/>
    <w:rsid w:val="00655D67"/>
    <w:rsid w:val="00655E6F"/>
    <w:rsid w:val="006562E1"/>
    <w:rsid w:val="0065683B"/>
    <w:rsid w:val="00656AE0"/>
    <w:rsid w:val="00656C13"/>
    <w:rsid w:val="00657093"/>
    <w:rsid w:val="006570A3"/>
    <w:rsid w:val="00657278"/>
    <w:rsid w:val="0065777B"/>
    <w:rsid w:val="006577BD"/>
    <w:rsid w:val="0065792E"/>
    <w:rsid w:val="006600E0"/>
    <w:rsid w:val="00660613"/>
    <w:rsid w:val="006607EB"/>
    <w:rsid w:val="00660874"/>
    <w:rsid w:val="00660C29"/>
    <w:rsid w:val="00660CB9"/>
    <w:rsid w:val="00660E2C"/>
    <w:rsid w:val="006613F4"/>
    <w:rsid w:val="006624DF"/>
    <w:rsid w:val="00662984"/>
    <w:rsid w:val="00663098"/>
    <w:rsid w:val="0066317B"/>
    <w:rsid w:val="00663674"/>
    <w:rsid w:val="006636FA"/>
    <w:rsid w:val="00663B7C"/>
    <w:rsid w:val="006645FE"/>
    <w:rsid w:val="006646BF"/>
    <w:rsid w:val="00665213"/>
    <w:rsid w:val="00665219"/>
    <w:rsid w:val="006657B4"/>
    <w:rsid w:val="00665854"/>
    <w:rsid w:val="00665C25"/>
    <w:rsid w:val="00665FB0"/>
    <w:rsid w:val="0066644F"/>
    <w:rsid w:val="00666706"/>
    <w:rsid w:val="00666E11"/>
    <w:rsid w:val="00666F61"/>
    <w:rsid w:val="0066745E"/>
    <w:rsid w:val="006676BB"/>
    <w:rsid w:val="00667E01"/>
    <w:rsid w:val="00667FA4"/>
    <w:rsid w:val="00670284"/>
    <w:rsid w:val="006707C6"/>
    <w:rsid w:val="00670B56"/>
    <w:rsid w:val="006715B9"/>
    <w:rsid w:val="006716E0"/>
    <w:rsid w:val="006717C5"/>
    <w:rsid w:val="00671B38"/>
    <w:rsid w:val="00671D00"/>
    <w:rsid w:val="00672113"/>
    <w:rsid w:val="006721AF"/>
    <w:rsid w:val="006723B1"/>
    <w:rsid w:val="0067260A"/>
    <w:rsid w:val="00672632"/>
    <w:rsid w:val="00672AD0"/>
    <w:rsid w:val="00672B10"/>
    <w:rsid w:val="00673537"/>
    <w:rsid w:val="00673FFA"/>
    <w:rsid w:val="0067475E"/>
    <w:rsid w:val="00674AEA"/>
    <w:rsid w:val="00674C76"/>
    <w:rsid w:val="00674E8B"/>
    <w:rsid w:val="00675802"/>
    <w:rsid w:val="00675896"/>
    <w:rsid w:val="00675F07"/>
    <w:rsid w:val="00676168"/>
    <w:rsid w:val="00676541"/>
    <w:rsid w:val="00676647"/>
    <w:rsid w:val="00677196"/>
    <w:rsid w:val="00677532"/>
    <w:rsid w:val="006778C9"/>
    <w:rsid w:val="00677A5B"/>
    <w:rsid w:val="00677FC7"/>
    <w:rsid w:val="006804FC"/>
    <w:rsid w:val="00680A2A"/>
    <w:rsid w:val="00680B86"/>
    <w:rsid w:val="00680C3C"/>
    <w:rsid w:val="00680C83"/>
    <w:rsid w:val="00680CF3"/>
    <w:rsid w:val="006812D4"/>
    <w:rsid w:val="00681A46"/>
    <w:rsid w:val="006820DB"/>
    <w:rsid w:val="00682328"/>
    <w:rsid w:val="006825AA"/>
    <w:rsid w:val="00682CD6"/>
    <w:rsid w:val="0068323D"/>
    <w:rsid w:val="0068335A"/>
    <w:rsid w:val="006833B5"/>
    <w:rsid w:val="006833EB"/>
    <w:rsid w:val="00683628"/>
    <w:rsid w:val="00683D86"/>
    <w:rsid w:val="00683EF9"/>
    <w:rsid w:val="00683FB3"/>
    <w:rsid w:val="006841FC"/>
    <w:rsid w:val="0068484B"/>
    <w:rsid w:val="006848EF"/>
    <w:rsid w:val="00684AF1"/>
    <w:rsid w:val="0068556B"/>
    <w:rsid w:val="0068558B"/>
    <w:rsid w:val="00685872"/>
    <w:rsid w:val="00685CA1"/>
    <w:rsid w:val="00685D6B"/>
    <w:rsid w:val="00686488"/>
    <w:rsid w:val="006865B2"/>
    <w:rsid w:val="006868BD"/>
    <w:rsid w:val="00686DC3"/>
    <w:rsid w:val="00686F37"/>
    <w:rsid w:val="00687351"/>
    <w:rsid w:val="006873FA"/>
    <w:rsid w:val="00687560"/>
    <w:rsid w:val="0068774A"/>
    <w:rsid w:val="00687818"/>
    <w:rsid w:val="00687CB8"/>
    <w:rsid w:val="00687CC4"/>
    <w:rsid w:val="00687FE2"/>
    <w:rsid w:val="006902A6"/>
    <w:rsid w:val="006906F4"/>
    <w:rsid w:val="006911AF"/>
    <w:rsid w:val="006914B0"/>
    <w:rsid w:val="00691803"/>
    <w:rsid w:val="006919B7"/>
    <w:rsid w:val="006919BA"/>
    <w:rsid w:val="00691A3F"/>
    <w:rsid w:val="00691E4D"/>
    <w:rsid w:val="00691E61"/>
    <w:rsid w:val="006920C2"/>
    <w:rsid w:val="006921E8"/>
    <w:rsid w:val="00692292"/>
    <w:rsid w:val="006924D5"/>
    <w:rsid w:val="006927BE"/>
    <w:rsid w:val="00692CA9"/>
    <w:rsid w:val="00692DAA"/>
    <w:rsid w:val="00692F02"/>
    <w:rsid w:val="006936A7"/>
    <w:rsid w:val="006939CD"/>
    <w:rsid w:val="00694BAE"/>
    <w:rsid w:val="00694E29"/>
    <w:rsid w:val="006952A4"/>
    <w:rsid w:val="00695CDE"/>
    <w:rsid w:val="00696017"/>
    <w:rsid w:val="00696132"/>
    <w:rsid w:val="00696232"/>
    <w:rsid w:val="00696452"/>
    <w:rsid w:val="00696AC5"/>
    <w:rsid w:val="00696D53"/>
    <w:rsid w:val="0069718E"/>
    <w:rsid w:val="006973C5"/>
    <w:rsid w:val="00697423"/>
    <w:rsid w:val="00697897"/>
    <w:rsid w:val="006979FF"/>
    <w:rsid w:val="00697A26"/>
    <w:rsid w:val="006A053B"/>
    <w:rsid w:val="006A09F9"/>
    <w:rsid w:val="006A0F0D"/>
    <w:rsid w:val="006A0FB1"/>
    <w:rsid w:val="006A111C"/>
    <w:rsid w:val="006A11A8"/>
    <w:rsid w:val="006A11D4"/>
    <w:rsid w:val="006A1A3C"/>
    <w:rsid w:val="006A1AD8"/>
    <w:rsid w:val="006A1AF6"/>
    <w:rsid w:val="006A1B49"/>
    <w:rsid w:val="006A1B98"/>
    <w:rsid w:val="006A1BF6"/>
    <w:rsid w:val="006A1C36"/>
    <w:rsid w:val="006A1EE2"/>
    <w:rsid w:val="006A1FF2"/>
    <w:rsid w:val="006A2086"/>
    <w:rsid w:val="006A25AF"/>
    <w:rsid w:val="006A276D"/>
    <w:rsid w:val="006A280A"/>
    <w:rsid w:val="006A28ED"/>
    <w:rsid w:val="006A3341"/>
    <w:rsid w:val="006A33A9"/>
    <w:rsid w:val="006A351F"/>
    <w:rsid w:val="006A3A1C"/>
    <w:rsid w:val="006A3AEB"/>
    <w:rsid w:val="006A3C08"/>
    <w:rsid w:val="006A3D10"/>
    <w:rsid w:val="006A3DC3"/>
    <w:rsid w:val="006A412B"/>
    <w:rsid w:val="006A42B4"/>
    <w:rsid w:val="006A444A"/>
    <w:rsid w:val="006A48B3"/>
    <w:rsid w:val="006A4B40"/>
    <w:rsid w:val="006A4B68"/>
    <w:rsid w:val="006A4D98"/>
    <w:rsid w:val="006A4FB7"/>
    <w:rsid w:val="006A51E5"/>
    <w:rsid w:val="006A53D0"/>
    <w:rsid w:val="006A56A6"/>
    <w:rsid w:val="006A5754"/>
    <w:rsid w:val="006A5AD6"/>
    <w:rsid w:val="006A5D2A"/>
    <w:rsid w:val="006A61FD"/>
    <w:rsid w:val="006A64D8"/>
    <w:rsid w:val="006A69FC"/>
    <w:rsid w:val="006A6FEC"/>
    <w:rsid w:val="006A702D"/>
    <w:rsid w:val="006A72BF"/>
    <w:rsid w:val="006A73B2"/>
    <w:rsid w:val="006A762D"/>
    <w:rsid w:val="006A76A7"/>
    <w:rsid w:val="006A7B4B"/>
    <w:rsid w:val="006A7CC9"/>
    <w:rsid w:val="006A7F8B"/>
    <w:rsid w:val="006B0289"/>
    <w:rsid w:val="006B036D"/>
    <w:rsid w:val="006B0612"/>
    <w:rsid w:val="006B0AE6"/>
    <w:rsid w:val="006B0C4F"/>
    <w:rsid w:val="006B0E4C"/>
    <w:rsid w:val="006B11B6"/>
    <w:rsid w:val="006B2AC0"/>
    <w:rsid w:val="006B2E45"/>
    <w:rsid w:val="006B2E51"/>
    <w:rsid w:val="006B3160"/>
    <w:rsid w:val="006B33CC"/>
    <w:rsid w:val="006B348A"/>
    <w:rsid w:val="006B34B6"/>
    <w:rsid w:val="006B363C"/>
    <w:rsid w:val="006B3EE7"/>
    <w:rsid w:val="006B3F8C"/>
    <w:rsid w:val="006B4074"/>
    <w:rsid w:val="006B4276"/>
    <w:rsid w:val="006B4995"/>
    <w:rsid w:val="006B4E17"/>
    <w:rsid w:val="006B4F8A"/>
    <w:rsid w:val="006B52CC"/>
    <w:rsid w:val="006B6012"/>
    <w:rsid w:val="006B642F"/>
    <w:rsid w:val="006B6A66"/>
    <w:rsid w:val="006B7406"/>
    <w:rsid w:val="006B784B"/>
    <w:rsid w:val="006B7BB0"/>
    <w:rsid w:val="006B7DA4"/>
    <w:rsid w:val="006B7ED0"/>
    <w:rsid w:val="006C00C2"/>
    <w:rsid w:val="006C037B"/>
    <w:rsid w:val="006C0666"/>
    <w:rsid w:val="006C0ADB"/>
    <w:rsid w:val="006C0B00"/>
    <w:rsid w:val="006C0D85"/>
    <w:rsid w:val="006C1DFC"/>
    <w:rsid w:val="006C1FBA"/>
    <w:rsid w:val="006C1FBB"/>
    <w:rsid w:val="006C23D1"/>
    <w:rsid w:val="006C3110"/>
    <w:rsid w:val="006C3248"/>
    <w:rsid w:val="006C333E"/>
    <w:rsid w:val="006C3402"/>
    <w:rsid w:val="006C3550"/>
    <w:rsid w:val="006C3A0A"/>
    <w:rsid w:val="006C3B5A"/>
    <w:rsid w:val="006C3B90"/>
    <w:rsid w:val="006C3F1D"/>
    <w:rsid w:val="006C43FC"/>
    <w:rsid w:val="006C4679"/>
    <w:rsid w:val="006C4ABF"/>
    <w:rsid w:val="006C5A24"/>
    <w:rsid w:val="006C5EA7"/>
    <w:rsid w:val="006C5EB1"/>
    <w:rsid w:val="006C66A1"/>
    <w:rsid w:val="006C68A0"/>
    <w:rsid w:val="006C7009"/>
    <w:rsid w:val="006C71A6"/>
    <w:rsid w:val="006C77A2"/>
    <w:rsid w:val="006D05B5"/>
    <w:rsid w:val="006D0B8D"/>
    <w:rsid w:val="006D10A8"/>
    <w:rsid w:val="006D140A"/>
    <w:rsid w:val="006D1484"/>
    <w:rsid w:val="006D17AF"/>
    <w:rsid w:val="006D1C65"/>
    <w:rsid w:val="006D1D55"/>
    <w:rsid w:val="006D1F59"/>
    <w:rsid w:val="006D21C9"/>
    <w:rsid w:val="006D2617"/>
    <w:rsid w:val="006D2B5C"/>
    <w:rsid w:val="006D2FD1"/>
    <w:rsid w:val="006D32B2"/>
    <w:rsid w:val="006D33CA"/>
    <w:rsid w:val="006D3516"/>
    <w:rsid w:val="006D3A60"/>
    <w:rsid w:val="006D3C8F"/>
    <w:rsid w:val="006D3D4D"/>
    <w:rsid w:val="006D3D53"/>
    <w:rsid w:val="006D3E2E"/>
    <w:rsid w:val="006D3E43"/>
    <w:rsid w:val="006D4118"/>
    <w:rsid w:val="006D4D84"/>
    <w:rsid w:val="006D53A3"/>
    <w:rsid w:val="006D5886"/>
    <w:rsid w:val="006D5B36"/>
    <w:rsid w:val="006D64F7"/>
    <w:rsid w:val="006D6869"/>
    <w:rsid w:val="006D6C3D"/>
    <w:rsid w:val="006D7EC4"/>
    <w:rsid w:val="006E0367"/>
    <w:rsid w:val="006E0E83"/>
    <w:rsid w:val="006E0EC2"/>
    <w:rsid w:val="006E12CD"/>
    <w:rsid w:val="006E1660"/>
    <w:rsid w:val="006E24D9"/>
    <w:rsid w:val="006E2841"/>
    <w:rsid w:val="006E2FF2"/>
    <w:rsid w:val="006E33C0"/>
    <w:rsid w:val="006E356A"/>
    <w:rsid w:val="006E3696"/>
    <w:rsid w:val="006E39A9"/>
    <w:rsid w:val="006E40D1"/>
    <w:rsid w:val="006E4723"/>
    <w:rsid w:val="006E477F"/>
    <w:rsid w:val="006E478C"/>
    <w:rsid w:val="006E5445"/>
    <w:rsid w:val="006E544E"/>
    <w:rsid w:val="006E579A"/>
    <w:rsid w:val="006E621E"/>
    <w:rsid w:val="006E6A06"/>
    <w:rsid w:val="006E6D19"/>
    <w:rsid w:val="006E7119"/>
    <w:rsid w:val="006E74CB"/>
    <w:rsid w:val="006E7610"/>
    <w:rsid w:val="006E7A8B"/>
    <w:rsid w:val="006E7C74"/>
    <w:rsid w:val="006E7E27"/>
    <w:rsid w:val="006E7E40"/>
    <w:rsid w:val="006E7EF6"/>
    <w:rsid w:val="006F00CB"/>
    <w:rsid w:val="006F05F2"/>
    <w:rsid w:val="006F0B11"/>
    <w:rsid w:val="006F0DFE"/>
    <w:rsid w:val="006F0F20"/>
    <w:rsid w:val="006F107C"/>
    <w:rsid w:val="006F1856"/>
    <w:rsid w:val="006F1960"/>
    <w:rsid w:val="006F19EE"/>
    <w:rsid w:val="006F1A68"/>
    <w:rsid w:val="006F1B8D"/>
    <w:rsid w:val="006F1DB4"/>
    <w:rsid w:val="006F1E78"/>
    <w:rsid w:val="006F2358"/>
    <w:rsid w:val="006F2C1A"/>
    <w:rsid w:val="006F2C72"/>
    <w:rsid w:val="006F3201"/>
    <w:rsid w:val="006F3A1A"/>
    <w:rsid w:val="006F3B76"/>
    <w:rsid w:val="006F3E14"/>
    <w:rsid w:val="006F3E20"/>
    <w:rsid w:val="006F45DB"/>
    <w:rsid w:val="006F46B7"/>
    <w:rsid w:val="006F4A05"/>
    <w:rsid w:val="006F545C"/>
    <w:rsid w:val="006F5A71"/>
    <w:rsid w:val="006F5D75"/>
    <w:rsid w:val="006F6329"/>
    <w:rsid w:val="006F6BEB"/>
    <w:rsid w:val="006F6C59"/>
    <w:rsid w:val="006F76B2"/>
    <w:rsid w:val="0070036B"/>
    <w:rsid w:val="00700472"/>
    <w:rsid w:val="00700C6D"/>
    <w:rsid w:val="007010FE"/>
    <w:rsid w:val="007011A1"/>
    <w:rsid w:val="00701341"/>
    <w:rsid w:val="00701B5D"/>
    <w:rsid w:val="00701B7C"/>
    <w:rsid w:val="0070274D"/>
    <w:rsid w:val="00702C48"/>
    <w:rsid w:val="00702E11"/>
    <w:rsid w:val="00704228"/>
    <w:rsid w:val="00704B95"/>
    <w:rsid w:val="0070506D"/>
    <w:rsid w:val="00705155"/>
    <w:rsid w:val="00705C24"/>
    <w:rsid w:val="00705F9A"/>
    <w:rsid w:val="00705FFC"/>
    <w:rsid w:val="007067F2"/>
    <w:rsid w:val="00706E1D"/>
    <w:rsid w:val="00710367"/>
    <w:rsid w:val="00710767"/>
    <w:rsid w:val="00710A64"/>
    <w:rsid w:val="00711363"/>
    <w:rsid w:val="0071144B"/>
    <w:rsid w:val="00711A71"/>
    <w:rsid w:val="00711E23"/>
    <w:rsid w:val="00712870"/>
    <w:rsid w:val="00712A35"/>
    <w:rsid w:val="00712A7C"/>
    <w:rsid w:val="00712CCF"/>
    <w:rsid w:val="00712E55"/>
    <w:rsid w:val="00713074"/>
    <w:rsid w:val="007132F7"/>
    <w:rsid w:val="007136A9"/>
    <w:rsid w:val="007136D3"/>
    <w:rsid w:val="00713735"/>
    <w:rsid w:val="00713849"/>
    <w:rsid w:val="00714090"/>
    <w:rsid w:val="00714095"/>
    <w:rsid w:val="00714183"/>
    <w:rsid w:val="00714329"/>
    <w:rsid w:val="00714A74"/>
    <w:rsid w:val="00714B3B"/>
    <w:rsid w:val="00714E7B"/>
    <w:rsid w:val="00715BE1"/>
    <w:rsid w:val="00716384"/>
    <w:rsid w:val="007169B0"/>
    <w:rsid w:val="00716A9E"/>
    <w:rsid w:val="0071752E"/>
    <w:rsid w:val="0071777D"/>
    <w:rsid w:val="00717B9E"/>
    <w:rsid w:val="007200C1"/>
    <w:rsid w:val="007203C9"/>
    <w:rsid w:val="00720524"/>
    <w:rsid w:val="00720856"/>
    <w:rsid w:val="00720865"/>
    <w:rsid w:val="007208E7"/>
    <w:rsid w:val="00720932"/>
    <w:rsid w:val="00720A1B"/>
    <w:rsid w:val="00720F27"/>
    <w:rsid w:val="0072102A"/>
    <w:rsid w:val="00722233"/>
    <w:rsid w:val="007223CE"/>
    <w:rsid w:val="007223DB"/>
    <w:rsid w:val="007223EB"/>
    <w:rsid w:val="00722BE0"/>
    <w:rsid w:val="00722DCB"/>
    <w:rsid w:val="0072301F"/>
    <w:rsid w:val="00723176"/>
    <w:rsid w:val="00723925"/>
    <w:rsid w:val="00723952"/>
    <w:rsid w:val="00723B64"/>
    <w:rsid w:val="0072435F"/>
    <w:rsid w:val="0072490B"/>
    <w:rsid w:val="00724C1E"/>
    <w:rsid w:val="007261D3"/>
    <w:rsid w:val="00726429"/>
    <w:rsid w:val="007264E3"/>
    <w:rsid w:val="007269DA"/>
    <w:rsid w:val="00726A1A"/>
    <w:rsid w:val="00726DDE"/>
    <w:rsid w:val="007270AD"/>
    <w:rsid w:val="00730486"/>
    <w:rsid w:val="00730983"/>
    <w:rsid w:val="00730E53"/>
    <w:rsid w:val="007316D6"/>
    <w:rsid w:val="00731C15"/>
    <w:rsid w:val="007323D6"/>
    <w:rsid w:val="0073263A"/>
    <w:rsid w:val="007327E1"/>
    <w:rsid w:val="007327F0"/>
    <w:rsid w:val="00732CA1"/>
    <w:rsid w:val="00733574"/>
    <w:rsid w:val="0073372B"/>
    <w:rsid w:val="00733EE1"/>
    <w:rsid w:val="00734637"/>
    <w:rsid w:val="00734949"/>
    <w:rsid w:val="00734FFC"/>
    <w:rsid w:val="007350CD"/>
    <w:rsid w:val="007350D1"/>
    <w:rsid w:val="007353D5"/>
    <w:rsid w:val="007354CB"/>
    <w:rsid w:val="007355E9"/>
    <w:rsid w:val="007356D9"/>
    <w:rsid w:val="007358B2"/>
    <w:rsid w:val="00735B9F"/>
    <w:rsid w:val="00735F17"/>
    <w:rsid w:val="00735F60"/>
    <w:rsid w:val="00736191"/>
    <w:rsid w:val="00736596"/>
    <w:rsid w:val="007367FF"/>
    <w:rsid w:val="007368B5"/>
    <w:rsid w:val="00736A3E"/>
    <w:rsid w:val="00737214"/>
    <w:rsid w:val="0073752E"/>
    <w:rsid w:val="007378DD"/>
    <w:rsid w:val="0074006A"/>
    <w:rsid w:val="007401CE"/>
    <w:rsid w:val="0074029C"/>
    <w:rsid w:val="0074059A"/>
    <w:rsid w:val="0074066B"/>
    <w:rsid w:val="007409DB"/>
    <w:rsid w:val="00740C14"/>
    <w:rsid w:val="00740FF8"/>
    <w:rsid w:val="0074102C"/>
    <w:rsid w:val="007414EF"/>
    <w:rsid w:val="007417A5"/>
    <w:rsid w:val="00742BCA"/>
    <w:rsid w:val="00743408"/>
    <w:rsid w:val="007436BD"/>
    <w:rsid w:val="00743853"/>
    <w:rsid w:val="00743E9C"/>
    <w:rsid w:val="007440B7"/>
    <w:rsid w:val="00744264"/>
    <w:rsid w:val="00744786"/>
    <w:rsid w:val="007451CC"/>
    <w:rsid w:val="00745913"/>
    <w:rsid w:val="00745C6B"/>
    <w:rsid w:val="00745EF7"/>
    <w:rsid w:val="007469BB"/>
    <w:rsid w:val="00746A42"/>
    <w:rsid w:val="00746B01"/>
    <w:rsid w:val="00746F54"/>
    <w:rsid w:val="0074774B"/>
    <w:rsid w:val="00747D14"/>
    <w:rsid w:val="00747E9E"/>
    <w:rsid w:val="007508F2"/>
    <w:rsid w:val="00750997"/>
    <w:rsid w:val="00750C8A"/>
    <w:rsid w:val="00750F21"/>
    <w:rsid w:val="00751128"/>
    <w:rsid w:val="0075112A"/>
    <w:rsid w:val="00751545"/>
    <w:rsid w:val="00751BDC"/>
    <w:rsid w:val="00751E3D"/>
    <w:rsid w:val="007527BF"/>
    <w:rsid w:val="00752ABC"/>
    <w:rsid w:val="00753941"/>
    <w:rsid w:val="0075466F"/>
    <w:rsid w:val="0075495E"/>
    <w:rsid w:val="00754A31"/>
    <w:rsid w:val="0075509E"/>
    <w:rsid w:val="00755953"/>
    <w:rsid w:val="00756DB4"/>
    <w:rsid w:val="00757165"/>
    <w:rsid w:val="00757614"/>
    <w:rsid w:val="0075787A"/>
    <w:rsid w:val="00757B20"/>
    <w:rsid w:val="00757C48"/>
    <w:rsid w:val="00760AFA"/>
    <w:rsid w:val="00760B21"/>
    <w:rsid w:val="007611F8"/>
    <w:rsid w:val="00761AE9"/>
    <w:rsid w:val="00762582"/>
    <w:rsid w:val="007625A8"/>
    <w:rsid w:val="00762652"/>
    <w:rsid w:val="007628FD"/>
    <w:rsid w:val="00762AE6"/>
    <w:rsid w:val="00762EF9"/>
    <w:rsid w:val="00763008"/>
    <w:rsid w:val="00763420"/>
    <w:rsid w:val="0076400D"/>
    <w:rsid w:val="00764055"/>
    <w:rsid w:val="007640CB"/>
    <w:rsid w:val="007641B3"/>
    <w:rsid w:val="00764EC5"/>
    <w:rsid w:val="0076503D"/>
    <w:rsid w:val="00765488"/>
    <w:rsid w:val="00765634"/>
    <w:rsid w:val="007658A6"/>
    <w:rsid w:val="00766292"/>
    <w:rsid w:val="007663FD"/>
    <w:rsid w:val="0076659D"/>
    <w:rsid w:val="00766988"/>
    <w:rsid w:val="00766A6D"/>
    <w:rsid w:val="00766AA6"/>
    <w:rsid w:val="00767180"/>
    <w:rsid w:val="007676E0"/>
    <w:rsid w:val="00767A44"/>
    <w:rsid w:val="00767A96"/>
    <w:rsid w:val="00767B7C"/>
    <w:rsid w:val="00767DF9"/>
    <w:rsid w:val="0077054B"/>
    <w:rsid w:val="00770EF5"/>
    <w:rsid w:val="007710C9"/>
    <w:rsid w:val="0077122B"/>
    <w:rsid w:val="007712F8"/>
    <w:rsid w:val="00771375"/>
    <w:rsid w:val="007713F7"/>
    <w:rsid w:val="00771D10"/>
    <w:rsid w:val="00773576"/>
    <w:rsid w:val="00773A9C"/>
    <w:rsid w:val="00773BEB"/>
    <w:rsid w:val="00773E83"/>
    <w:rsid w:val="0077401B"/>
    <w:rsid w:val="00774B31"/>
    <w:rsid w:val="00774DA0"/>
    <w:rsid w:val="00775098"/>
    <w:rsid w:val="0077546F"/>
    <w:rsid w:val="00775549"/>
    <w:rsid w:val="007756EC"/>
    <w:rsid w:val="00775C5D"/>
    <w:rsid w:val="00776214"/>
    <w:rsid w:val="00776231"/>
    <w:rsid w:val="0077682B"/>
    <w:rsid w:val="0077687F"/>
    <w:rsid w:val="0077739A"/>
    <w:rsid w:val="007779BE"/>
    <w:rsid w:val="007803E2"/>
    <w:rsid w:val="00780548"/>
    <w:rsid w:val="0078059B"/>
    <w:rsid w:val="0078063E"/>
    <w:rsid w:val="007808E3"/>
    <w:rsid w:val="00780915"/>
    <w:rsid w:val="007809BD"/>
    <w:rsid w:val="0078116D"/>
    <w:rsid w:val="00781472"/>
    <w:rsid w:val="00781850"/>
    <w:rsid w:val="00781FB0"/>
    <w:rsid w:val="0078240C"/>
    <w:rsid w:val="00782414"/>
    <w:rsid w:val="00783D45"/>
    <w:rsid w:val="00783E80"/>
    <w:rsid w:val="007846B1"/>
    <w:rsid w:val="00785023"/>
    <w:rsid w:val="00785249"/>
    <w:rsid w:val="00785653"/>
    <w:rsid w:val="00785758"/>
    <w:rsid w:val="00785E9C"/>
    <w:rsid w:val="007863E8"/>
    <w:rsid w:val="007867B6"/>
    <w:rsid w:val="007869BB"/>
    <w:rsid w:val="007869DF"/>
    <w:rsid w:val="00786DA1"/>
    <w:rsid w:val="00786FC0"/>
    <w:rsid w:val="00787122"/>
    <w:rsid w:val="0078730E"/>
    <w:rsid w:val="00787685"/>
    <w:rsid w:val="00787BF7"/>
    <w:rsid w:val="00787F44"/>
    <w:rsid w:val="007900FA"/>
    <w:rsid w:val="007901D8"/>
    <w:rsid w:val="00790EA5"/>
    <w:rsid w:val="007910D9"/>
    <w:rsid w:val="00791428"/>
    <w:rsid w:val="00791E9C"/>
    <w:rsid w:val="00791F0F"/>
    <w:rsid w:val="00792D27"/>
    <w:rsid w:val="00793098"/>
    <w:rsid w:val="00793190"/>
    <w:rsid w:val="0079341D"/>
    <w:rsid w:val="0079439B"/>
    <w:rsid w:val="00794626"/>
    <w:rsid w:val="0079473A"/>
    <w:rsid w:val="00794B6B"/>
    <w:rsid w:val="00794FE9"/>
    <w:rsid w:val="00795D27"/>
    <w:rsid w:val="00795EF9"/>
    <w:rsid w:val="00795FB5"/>
    <w:rsid w:val="00796439"/>
    <w:rsid w:val="007964C5"/>
    <w:rsid w:val="007972D6"/>
    <w:rsid w:val="0079736B"/>
    <w:rsid w:val="00797422"/>
    <w:rsid w:val="00797810"/>
    <w:rsid w:val="00797A83"/>
    <w:rsid w:val="00797BC6"/>
    <w:rsid w:val="00797FC4"/>
    <w:rsid w:val="007A044E"/>
    <w:rsid w:val="007A0822"/>
    <w:rsid w:val="007A0F48"/>
    <w:rsid w:val="007A1020"/>
    <w:rsid w:val="007A12CB"/>
    <w:rsid w:val="007A134C"/>
    <w:rsid w:val="007A19E2"/>
    <w:rsid w:val="007A1A0E"/>
    <w:rsid w:val="007A1A8A"/>
    <w:rsid w:val="007A218A"/>
    <w:rsid w:val="007A296C"/>
    <w:rsid w:val="007A3AD3"/>
    <w:rsid w:val="007A3B74"/>
    <w:rsid w:val="007A3CC4"/>
    <w:rsid w:val="007A3D66"/>
    <w:rsid w:val="007A4298"/>
    <w:rsid w:val="007A43B4"/>
    <w:rsid w:val="007A44F7"/>
    <w:rsid w:val="007A4B0F"/>
    <w:rsid w:val="007A4CD2"/>
    <w:rsid w:val="007A4D49"/>
    <w:rsid w:val="007A521B"/>
    <w:rsid w:val="007A5E12"/>
    <w:rsid w:val="007A62CF"/>
    <w:rsid w:val="007A647A"/>
    <w:rsid w:val="007A7287"/>
    <w:rsid w:val="007A72AD"/>
    <w:rsid w:val="007A7BB3"/>
    <w:rsid w:val="007B00DB"/>
    <w:rsid w:val="007B0188"/>
    <w:rsid w:val="007B056E"/>
    <w:rsid w:val="007B09BF"/>
    <w:rsid w:val="007B10C0"/>
    <w:rsid w:val="007B13F1"/>
    <w:rsid w:val="007B18D4"/>
    <w:rsid w:val="007B1940"/>
    <w:rsid w:val="007B1DE5"/>
    <w:rsid w:val="007B1F35"/>
    <w:rsid w:val="007B2488"/>
    <w:rsid w:val="007B3459"/>
    <w:rsid w:val="007B3816"/>
    <w:rsid w:val="007B3AD3"/>
    <w:rsid w:val="007B4147"/>
    <w:rsid w:val="007B481E"/>
    <w:rsid w:val="007B4935"/>
    <w:rsid w:val="007B4B25"/>
    <w:rsid w:val="007B4CE6"/>
    <w:rsid w:val="007B551E"/>
    <w:rsid w:val="007B5B6C"/>
    <w:rsid w:val="007B5C77"/>
    <w:rsid w:val="007B5CDC"/>
    <w:rsid w:val="007B60DE"/>
    <w:rsid w:val="007B6B64"/>
    <w:rsid w:val="007B70B2"/>
    <w:rsid w:val="007B70C0"/>
    <w:rsid w:val="007B70EC"/>
    <w:rsid w:val="007B70F6"/>
    <w:rsid w:val="007B74AC"/>
    <w:rsid w:val="007B7567"/>
    <w:rsid w:val="007B778A"/>
    <w:rsid w:val="007C0231"/>
    <w:rsid w:val="007C028F"/>
    <w:rsid w:val="007C0FFF"/>
    <w:rsid w:val="007C121D"/>
    <w:rsid w:val="007C1566"/>
    <w:rsid w:val="007C1FBF"/>
    <w:rsid w:val="007C2141"/>
    <w:rsid w:val="007C27E6"/>
    <w:rsid w:val="007C2C72"/>
    <w:rsid w:val="007C35CD"/>
    <w:rsid w:val="007C3C32"/>
    <w:rsid w:val="007C3C5A"/>
    <w:rsid w:val="007C40E6"/>
    <w:rsid w:val="007C467D"/>
    <w:rsid w:val="007C46CB"/>
    <w:rsid w:val="007C4EB5"/>
    <w:rsid w:val="007C5517"/>
    <w:rsid w:val="007C55CA"/>
    <w:rsid w:val="007C55E5"/>
    <w:rsid w:val="007C61AC"/>
    <w:rsid w:val="007C61B0"/>
    <w:rsid w:val="007C68AB"/>
    <w:rsid w:val="007C6AF1"/>
    <w:rsid w:val="007C6B1D"/>
    <w:rsid w:val="007C6F8A"/>
    <w:rsid w:val="007C7275"/>
    <w:rsid w:val="007C73BC"/>
    <w:rsid w:val="007D058F"/>
    <w:rsid w:val="007D0784"/>
    <w:rsid w:val="007D1170"/>
    <w:rsid w:val="007D2124"/>
    <w:rsid w:val="007D2A10"/>
    <w:rsid w:val="007D2B39"/>
    <w:rsid w:val="007D2BC2"/>
    <w:rsid w:val="007D30E4"/>
    <w:rsid w:val="007D326A"/>
    <w:rsid w:val="007D32F0"/>
    <w:rsid w:val="007D36F2"/>
    <w:rsid w:val="007D39A8"/>
    <w:rsid w:val="007D39E3"/>
    <w:rsid w:val="007D3A8C"/>
    <w:rsid w:val="007D3F7F"/>
    <w:rsid w:val="007D414C"/>
    <w:rsid w:val="007D4946"/>
    <w:rsid w:val="007D588C"/>
    <w:rsid w:val="007D598F"/>
    <w:rsid w:val="007D5A72"/>
    <w:rsid w:val="007D5A96"/>
    <w:rsid w:val="007D5F56"/>
    <w:rsid w:val="007D6074"/>
    <w:rsid w:val="007D6872"/>
    <w:rsid w:val="007D7011"/>
    <w:rsid w:val="007D7109"/>
    <w:rsid w:val="007D7149"/>
    <w:rsid w:val="007D731B"/>
    <w:rsid w:val="007D7A3D"/>
    <w:rsid w:val="007D7CF0"/>
    <w:rsid w:val="007E0AEC"/>
    <w:rsid w:val="007E0D16"/>
    <w:rsid w:val="007E1615"/>
    <w:rsid w:val="007E1802"/>
    <w:rsid w:val="007E188A"/>
    <w:rsid w:val="007E1F9E"/>
    <w:rsid w:val="007E2226"/>
    <w:rsid w:val="007E24A5"/>
    <w:rsid w:val="007E26F4"/>
    <w:rsid w:val="007E2A47"/>
    <w:rsid w:val="007E2B65"/>
    <w:rsid w:val="007E2D35"/>
    <w:rsid w:val="007E3154"/>
    <w:rsid w:val="007E3175"/>
    <w:rsid w:val="007E320D"/>
    <w:rsid w:val="007E3236"/>
    <w:rsid w:val="007E3325"/>
    <w:rsid w:val="007E35CC"/>
    <w:rsid w:val="007E36D2"/>
    <w:rsid w:val="007E4A9B"/>
    <w:rsid w:val="007E51F0"/>
    <w:rsid w:val="007E5D1C"/>
    <w:rsid w:val="007E5D52"/>
    <w:rsid w:val="007E6EAF"/>
    <w:rsid w:val="007E6EDD"/>
    <w:rsid w:val="007E7058"/>
    <w:rsid w:val="007E7786"/>
    <w:rsid w:val="007E7BA1"/>
    <w:rsid w:val="007E7E9B"/>
    <w:rsid w:val="007F03FE"/>
    <w:rsid w:val="007F07BA"/>
    <w:rsid w:val="007F0D12"/>
    <w:rsid w:val="007F0E36"/>
    <w:rsid w:val="007F1601"/>
    <w:rsid w:val="007F1615"/>
    <w:rsid w:val="007F177B"/>
    <w:rsid w:val="007F1896"/>
    <w:rsid w:val="007F19B1"/>
    <w:rsid w:val="007F1A0A"/>
    <w:rsid w:val="007F1A5A"/>
    <w:rsid w:val="007F248B"/>
    <w:rsid w:val="007F250D"/>
    <w:rsid w:val="007F26CD"/>
    <w:rsid w:val="007F2D80"/>
    <w:rsid w:val="007F32BD"/>
    <w:rsid w:val="007F395F"/>
    <w:rsid w:val="007F3D3C"/>
    <w:rsid w:val="007F42F7"/>
    <w:rsid w:val="007F446B"/>
    <w:rsid w:val="007F4ADB"/>
    <w:rsid w:val="007F4BC1"/>
    <w:rsid w:val="007F5897"/>
    <w:rsid w:val="007F5996"/>
    <w:rsid w:val="007F6273"/>
    <w:rsid w:val="007F62D2"/>
    <w:rsid w:val="007F6BE2"/>
    <w:rsid w:val="007F793B"/>
    <w:rsid w:val="007F7DB9"/>
    <w:rsid w:val="00800B7F"/>
    <w:rsid w:val="00800D14"/>
    <w:rsid w:val="00801114"/>
    <w:rsid w:val="00801250"/>
    <w:rsid w:val="00801576"/>
    <w:rsid w:val="00801878"/>
    <w:rsid w:val="00801CD3"/>
    <w:rsid w:val="00802548"/>
    <w:rsid w:val="008025D1"/>
    <w:rsid w:val="0080303E"/>
    <w:rsid w:val="0080322F"/>
    <w:rsid w:val="008032B8"/>
    <w:rsid w:val="00803A0F"/>
    <w:rsid w:val="00804772"/>
    <w:rsid w:val="008049B0"/>
    <w:rsid w:val="008049EE"/>
    <w:rsid w:val="0080518B"/>
    <w:rsid w:val="008053F7"/>
    <w:rsid w:val="00805708"/>
    <w:rsid w:val="00805B85"/>
    <w:rsid w:val="00806134"/>
    <w:rsid w:val="00806309"/>
    <w:rsid w:val="008066E8"/>
    <w:rsid w:val="008067A4"/>
    <w:rsid w:val="0080687B"/>
    <w:rsid w:val="008069E4"/>
    <w:rsid w:val="008071A2"/>
    <w:rsid w:val="0080727D"/>
    <w:rsid w:val="00807642"/>
    <w:rsid w:val="008076CA"/>
    <w:rsid w:val="00810C14"/>
    <w:rsid w:val="00810E66"/>
    <w:rsid w:val="0081122A"/>
    <w:rsid w:val="0081133B"/>
    <w:rsid w:val="00812235"/>
    <w:rsid w:val="0081313A"/>
    <w:rsid w:val="008136CC"/>
    <w:rsid w:val="008139DF"/>
    <w:rsid w:val="00813B7D"/>
    <w:rsid w:val="00813C3E"/>
    <w:rsid w:val="00813F37"/>
    <w:rsid w:val="0081473E"/>
    <w:rsid w:val="00814774"/>
    <w:rsid w:val="008159CF"/>
    <w:rsid w:val="00816C1C"/>
    <w:rsid w:val="0081710B"/>
    <w:rsid w:val="008173A1"/>
    <w:rsid w:val="008177AB"/>
    <w:rsid w:val="00817A2E"/>
    <w:rsid w:val="00817DBB"/>
    <w:rsid w:val="00817E29"/>
    <w:rsid w:val="0082013C"/>
    <w:rsid w:val="00820271"/>
    <w:rsid w:val="00820528"/>
    <w:rsid w:val="0082057B"/>
    <w:rsid w:val="008207CA"/>
    <w:rsid w:val="00820E95"/>
    <w:rsid w:val="008210C0"/>
    <w:rsid w:val="00821403"/>
    <w:rsid w:val="00821942"/>
    <w:rsid w:val="00821EE5"/>
    <w:rsid w:val="0082259D"/>
    <w:rsid w:val="00822613"/>
    <w:rsid w:val="00822CD9"/>
    <w:rsid w:val="00822E76"/>
    <w:rsid w:val="00822F22"/>
    <w:rsid w:val="008230CD"/>
    <w:rsid w:val="0082311B"/>
    <w:rsid w:val="0082312F"/>
    <w:rsid w:val="00823447"/>
    <w:rsid w:val="00823548"/>
    <w:rsid w:val="008238B2"/>
    <w:rsid w:val="00823BAA"/>
    <w:rsid w:val="00824219"/>
    <w:rsid w:val="00824910"/>
    <w:rsid w:val="00824A9A"/>
    <w:rsid w:val="00824EFD"/>
    <w:rsid w:val="008252F5"/>
    <w:rsid w:val="00825587"/>
    <w:rsid w:val="00825E0A"/>
    <w:rsid w:val="00825FF9"/>
    <w:rsid w:val="00826113"/>
    <w:rsid w:val="00826213"/>
    <w:rsid w:val="0082695A"/>
    <w:rsid w:val="00826B57"/>
    <w:rsid w:val="00826D38"/>
    <w:rsid w:val="00826E40"/>
    <w:rsid w:val="008270E6"/>
    <w:rsid w:val="008272F9"/>
    <w:rsid w:val="00827352"/>
    <w:rsid w:val="00827591"/>
    <w:rsid w:val="0082791B"/>
    <w:rsid w:val="00827CA9"/>
    <w:rsid w:val="00827D58"/>
    <w:rsid w:val="00827E9A"/>
    <w:rsid w:val="00827FD9"/>
    <w:rsid w:val="008300AD"/>
    <w:rsid w:val="008308EB"/>
    <w:rsid w:val="00830E53"/>
    <w:rsid w:val="00831119"/>
    <w:rsid w:val="00831398"/>
    <w:rsid w:val="00831674"/>
    <w:rsid w:val="00831793"/>
    <w:rsid w:val="008320C9"/>
    <w:rsid w:val="0083233B"/>
    <w:rsid w:val="008324B7"/>
    <w:rsid w:val="008328FF"/>
    <w:rsid w:val="008329FD"/>
    <w:rsid w:val="00832D81"/>
    <w:rsid w:val="00832E5B"/>
    <w:rsid w:val="00832FAD"/>
    <w:rsid w:val="00833267"/>
    <w:rsid w:val="008335B3"/>
    <w:rsid w:val="00833678"/>
    <w:rsid w:val="008337AE"/>
    <w:rsid w:val="008338E4"/>
    <w:rsid w:val="00833970"/>
    <w:rsid w:val="008340D3"/>
    <w:rsid w:val="00834E43"/>
    <w:rsid w:val="00834EF1"/>
    <w:rsid w:val="00835363"/>
    <w:rsid w:val="008353AA"/>
    <w:rsid w:val="00835417"/>
    <w:rsid w:val="00835525"/>
    <w:rsid w:val="00836114"/>
    <w:rsid w:val="00836154"/>
    <w:rsid w:val="008364A4"/>
    <w:rsid w:val="00836532"/>
    <w:rsid w:val="0083663E"/>
    <w:rsid w:val="0083740D"/>
    <w:rsid w:val="00837A61"/>
    <w:rsid w:val="00837B90"/>
    <w:rsid w:val="00837EB8"/>
    <w:rsid w:val="008403DC"/>
    <w:rsid w:val="00840D94"/>
    <w:rsid w:val="008414DA"/>
    <w:rsid w:val="008419B2"/>
    <w:rsid w:val="008421B9"/>
    <w:rsid w:val="0084298B"/>
    <w:rsid w:val="00842A0F"/>
    <w:rsid w:val="0084307A"/>
    <w:rsid w:val="00844845"/>
    <w:rsid w:val="008448CD"/>
    <w:rsid w:val="00844C5D"/>
    <w:rsid w:val="00844FEA"/>
    <w:rsid w:val="00845014"/>
    <w:rsid w:val="008454DE"/>
    <w:rsid w:val="008457F4"/>
    <w:rsid w:val="00846069"/>
    <w:rsid w:val="0084612C"/>
    <w:rsid w:val="00846A32"/>
    <w:rsid w:val="00847220"/>
    <w:rsid w:val="008474CF"/>
    <w:rsid w:val="008475BF"/>
    <w:rsid w:val="00847BEB"/>
    <w:rsid w:val="00850099"/>
    <w:rsid w:val="0085016A"/>
    <w:rsid w:val="00850ACB"/>
    <w:rsid w:val="00851063"/>
    <w:rsid w:val="0085108B"/>
    <w:rsid w:val="0085190C"/>
    <w:rsid w:val="008519F7"/>
    <w:rsid w:val="00851B15"/>
    <w:rsid w:val="00853422"/>
    <w:rsid w:val="00853ACB"/>
    <w:rsid w:val="00853AF3"/>
    <w:rsid w:val="00853F77"/>
    <w:rsid w:val="00854033"/>
    <w:rsid w:val="00854281"/>
    <w:rsid w:val="0085442B"/>
    <w:rsid w:val="008546EB"/>
    <w:rsid w:val="00854720"/>
    <w:rsid w:val="00854853"/>
    <w:rsid w:val="008549E1"/>
    <w:rsid w:val="00854A13"/>
    <w:rsid w:val="00855A25"/>
    <w:rsid w:val="0085613C"/>
    <w:rsid w:val="00856316"/>
    <w:rsid w:val="0085659E"/>
    <w:rsid w:val="008567B4"/>
    <w:rsid w:val="008568A0"/>
    <w:rsid w:val="008568FF"/>
    <w:rsid w:val="00857D08"/>
    <w:rsid w:val="0086011D"/>
    <w:rsid w:val="008602A8"/>
    <w:rsid w:val="00860800"/>
    <w:rsid w:val="00860C92"/>
    <w:rsid w:val="008613B4"/>
    <w:rsid w:val="00862035"/>
    <w:rsid w:val="00862234"/>
    <w:rsid w:val="008626E3"/>
    <w:rsid w:val="008633C4"/>
    <w:rsid w:val="00864309"/>
    <w:rsid w:val="008644D2"/>
    <w:rsid w:val="008652BF"/>
    <w:rsid w:val="00865ABE"/>
    <w:rsid w:val="00865B29"/>
    <w:rsid w:val="00865FBA"/>
    <w:rsid w:val="008660C0"/>
    <w:rsid w:val="008665E1"/>
    <w:rsid w:val="0086666F"/>
    <w:rsid w:val="00866B6A"/>
    <w:rsid w:val="00866DEF"/>
    <w:rsid w:val="00866F63"/>
    <w:rsid w:val="008671B2"/>
    <w:rsid w:val="0086725E"/>
    <w:rsid w:val="008674C5"/>
    <w:rsid w:val="008674F5"/>
    <w:rsid w:val="008676E8"/>
    <w:rsid w:val="00867709"/>
    <w:rsid w:val="008679C0"/>
    <w:rsid w:val="00867B30"/>
    <w:rsid w:val="00870271"/>
    <w:rsid w:val="008715F6"/>
    <w:rsid w:val="00871E57"/>
    <w:rsid w:val="00871E7C"/>
    <w:rsid w:val="00871F64"/>
    <w:rsid w:val="00872338"/>
    <w:rsid w:val="00872B41"/>
    <w:rsid w:val="00872E6D"/>
    <w:rsid w:val="0087309A"/>
    <w:rsid w:val="0087334A"/>
    <w:rsid w:val="008738E9"/>
    <w:rsid w:val="00873D8F"/>
    <w:rsid w:val="00873E24"/>
    <w:rsid w:val="0087413B"/>
    <w:rsid w:val="00874F67"/>
    <w:rsid w:val="008750F3"/>
    <w:rsid w:val="00875719"/>
    <w:rsid w:val="00875919"/>
    <w:rsid w:val="00875CD1"/>
    <w:rsid w:val="00876525"/>
    <w:rsid w:val="00876CEA"/>
    <w:rsid w:val="0087764D"/>
    <w:rsid w:val="0088022B"/>
    <w:rsid w:val="0088058F"/>
    <w:rsid w:val="00880B6C"/>
    <w:rsid w:val="0088109E"/>
    <w:rsid w:val="00881363"/>
    <w:rsid w:val="008813BD"/>
    <w:rsid w:val="00881530"/>
    <w:rsid w:val="00881770"/>
    <w:rsid w:val="008818DC"/>
    <w:rsid w:val="0088199E"/>
    <w:rsid w:val="00881EE5"/>
    <w:rsid w:val="00881F3E"/>
    <w:rsid w:val="00882515"/>
    <w:rsid w:val="00882E79"/>
    <w:rsid w:val="00882F4D"/>
    <w:rsid w:val="00883738"/>
    <w:rsid w:val="008838DF"/>
    <w:rsid w:val="00883AD8"/>
    <w:rsid w:val="00883B20"/>
    <w:rsid w:val="00883B32"/>
    <w:rsid w:val="00883C07"/>
    <w:rsid w:val="00883E62"/>
    <w:rsid w:val="00884182"/>
    <w:rsid w:val="0088454C"/>
    <w:rsid w:val="00884577"/>
    <w:rsid w:val="00884C3F"/>
    <w:rsid w:val="00885207"/>
    <w:rsid w:val="00885597"/>
    <w:rsid w:val="008856C8"/>
    <w:rsid w:val="008859ED"/>
    <w:rsid w:val="008860D3"/>
    <w:rsid w:val="008865B5"/>
    <w:rsid w:val="00886F91"/>
    <w:rsid w:val="0088757A"/>
    <w:rsid w:val="008901F1"/>
    <w:rsid w:val="008903D5"/>
    <w:rsid w:val="0089063B"/>
    <w:rsid w:val="00890F25"/>
    <w:rsid w:val="0089161B"/>
    <w:rsid w:val="00891F27"/>
    <w:rsid w:val="0089201B"/>
    <w:rsid w:val="008920CA"/>
    <w:rsid w:val="00892604"/>
    <w:rsid w:val="00892E8E"/>
    <w:rsid w:val="008932CF"/>
    <w:rsid w:val="00893889"/>
    <w:rsid w:val="008940E3"/>
    <w:rsid w:val="00894866"/>
    <w:rsid w:val="00894940"/>
    <w:rsid w:val="00894988"/>
    <w:rsid w:val="008951B1"/>
    <w:rsid w:val="00895639"/>
    <w:rsid w:val="0089587A"/>
    <w:rsid w:val="0089603B"/>
    <w:rsid w:val="00896624"/>
    <w:rsid w:val="00896968"/>
    <w:rsid w:val="00897305"/>
    <w:rsid w:val="008976EB"/>
    <w:rsid w:val="00897A48"/>
    <w:rsid w:val="00897B27"/>
    <w:rsid w:val="00897D59"/>
    <w:rsid w:val="008A0054"/>
    <w:rsid w:val="008A008C"/>
    <w:rsid w:val="008A05D4"/>
    <w:rsid w:val="008A0A34"/>
    <w:rsid w:val="008A1067"/>
    <w:rsid w:val="008A130F"/>
    <w:rsid w:val="008A13EE"/>
    <w:rsid w:val="008A1417"/>
    <w:rsid w:val="008A1650"/>
    <w:rsid w:val="008A1DF5"/>
    <w:rsid w:val="008A1FF0"/>
    <w:rsid w:val="008A210B"/>
    <w:rsid w:val="008A2406"/>
    <w:rsid w:val="008A257E"/>
    <w:rsid w:val="008A27C9"/>
    <w:rsid w:val="008A3337"/>
    <w:rsid w:val="008A39C0"/>
    <w:rsid w:val="008A39F8"/>
    <w:rsid w:val="008A3A1C"/>
    <w:rsid w:val="008A4074"/>
    <w:rsid w:val="008A41F9"/>
    <w:rsid w:val="008A4FAE"/>
    <w:rsid w:val="008A5193"/>
    <w:rsid w:val="008A5C17"/>
    <w:rsid w:val="008A620E"/>
    <w:rsid w:val="008A6360"/>
    <w:rsid w:val="008A63C5"/>
    <w:rsid w:val="008A6580"/>
    <w:rsid w:val="008A66CA"/>
    <w:rsid w:val="008A6795"/>
    <w:rsid w:val="008A6970"/>
    <w:rsid w:val="008A6B56"/>
    <w:rsid w:val="008A6B7A"/>
    <w:rsid w:val="008A6D56"/>
    <w:rsid w:val="008A6DD0"/>
    <w:rsid w:val="008A70F4"/>
    <w:rsid w:val="008A76E2"/>
    <w:rsid w:val="008A780E"/>
    <w:rsid w:val="008A7954"/>
    <w:rsid w:val="008A79AD"/>
    <w:rsid w:val="008A7F54"/>
    <w:rsid w:val="008A7FC3"/>
    <w:rsid w:val="008B008F"/>
    <w:rsid w:val="008B0B2F"/>
    <w:rsid w:val="008B20ED"/>
    <w:rsid w:val="008B2115"/>
    <w:rsid w:val="008B2763"/>
    <w:rsid w:val="008B301D"/>
    <w:rsid w:val="008B3126"/>
    <w:rsid w:val="008B36E9"/>
    <w:rsid w:val="008B3ADA"/>
    <w:rsid w:val="008B3DEF"/>
    <w:rsid w:val="008B40DB"/>
    <w:rsid w:val="008B4572"/>
    <w:rsid w:val="008B5D5B"/>
    <w:rsid w:val="008B63B1"/>
    <w:rsid w:val="008B65D6"/>
    <w:rsid w:val="008B6679"/>
    <w:rsid w:val="008B66F4"/>
    <w:rsid w:val="008B7267"/>
    <w:rsid w:val="008B768E"/>
    <w:rsid w:val="008B7B96"/>
    <w:rsid w:val="008B7D15"/>
    <w:rsid w:val="008B7FDB"/>
    <w:rsid w:val="008C0918"/>
    <w:rsid w:val="008C0D16"/>
    <w:rsid w:val="008C1217"/>
    <w:rsid w:val="008C1865"/>
    <w:rsid w:val="008C1894"/>
    <w:rsid w:val="008C1B00"/>
    <w:rsid w:val="008C1FC8"/>
    <w:rsid w:val="008C1FED"/>
    <w:rsid w:val="008C1FF0"/>
    <w:rsid w:val="008C20B0"/>
    <w:rsid w:val="008C29C7"/>
    <w:rsid w:val="008C3195"/>
    <w:rsid w:val="008C3A6A"/>
    <w:rsid w:val="008C403F"/>
    <w:rsid w:val="008C41A5"/>
    <w:rsid w:val="008C4968"/>
    <w:rsid w:val="008C51D6"/>
    <w:rsid w:val="008C5239"/>
    <w:rsid w:val="008C5837"/>
    <w:rsid w:val="008C6119"/>
    <w:rsid w:val="008C633D"/>
    <w:rsid w:val="008C640C"/>
    <w:rsid w:val="008C6D30"/>
    <w:rsid w:val="008C71DD"/>
    <w:rsid w:val="008C7BA2"/>
    <w:rsid w:val="008D00EE"/>
    <w:rsid w:val="008D05C6"/>
    <w:rsid w:val="008D07F5"/>
    <w:rsid w:val="008D0A52"/>
    <w:rsid w:val="008D0A80"/>
    <w:rsid w:val="008D0D48"/>
    <w:rsid w:val="008D10B2"/>
    <w:rsid w:val="008D170E"/>
    <w:rsid w:val="008D19F7"/>
    <w:rsid w:val="008D1A9D"/>
    <w:rsid w:val="008D1C96"/>
    <w:rsid w:val="008D1D6C"/>
    <w:rsid w:val="008D21A5"/>
    <w:rsid w:val="008D2F86"/>
    <w:rsid w:val="008D33CE"/>
    <w:rsid w:val="008D33F3"/>
    <w:rsid w:val="008D3889"/>
    <w:rsid w:val="008D3B10"/>
    <w:rsid w:val="008D3B26"/>
    <w:rsid w:val="008D4244"/>
    <w:rsid w:val="008D431A"/>
    <w:rsid w:val="008D4FF5"/>
    <w:rsid w:val="008D516D"/>
    <w:rsid w:val="008D5234"/>
    <w:rsid w:val="008D5288"/>
    <w:rsid w:val="008D54AE"/>
    <w:rsid w:val="008D5ACA"/>
    <w:rsid w:val="008D5CA3"/>
    <w:rsid w:val="008D5D13"/>
    <w:rsid w:val="008D5E39"/>
    <w:rsid w:val="008D608C"/>
    <w:rsid w:val="008D645C"/>
    <w:rsid w:val="008D6630"/>
    <w:rsid w:val="008D6D07"/>
    <w:rsid w:val="008D6EEC"/>
    <w:rsid w:val="008D73F3"/>
    <w:rsid w:val="008D76A5"/>
    <w:rsid w:val="008D7DD8"/>
    <w:rsid w:val="008D7E8A"/>
    <w:rsid w:val="008D7EEF"/>
    <w:rsid w:val="008E062B"/>
    <w:rsid w:val="008E07F2"/>
    <w:rsid w:val="008E095A"/>
    <w:rsid w:val="008E0E3C"/>
    <w:rsid w:val="008E1105"/>
    <w:rsid w:val="008E13CD"/>
    <w:rsid w:val="008E16DA"/>
    <w:rsid w:val="008E18B9"/>
    <w:rsid w:val="008E1A9F"/>
    <w:rsid w:val="008E1B01"/>
    <w:rsid w:val="008E1CAD"/>
    <w:rsid w:val="008E1D5C"/>
    <w:rsid w:val="008E28C5"/>
    <w:rsid w:val="008E28EC"/>
    <w:rsid w:val="008E2CE1"/>
    <w:rsid w:val="008E2DCC"/>
    <w:rsid w:val="008E332D"/>
    <w:rsid w:val="008E347B"/>
    <w:rsid w:val="008E3483"/>
    <w:rsid w:val="008E415D"/>
    <w:rsid w:val="008E446C"/>
    <w:rsid w:val="008E4CE3"/>
    <w:rsid w:val="008E4D65"/>
    <w:rsid w:val="008E532D"/>
    <w:rsid w:val="008E5686"/>
    <w:rsid w:val="008E5887"/>
    <w:rsid w:val="008E590B"/>
    <w:rsid w:val="008E5A41"/>
    <w:rsid w:val="008E665C"/>
    <w:rsid w:val="008E69BA"/>
    <w:rsid w:val="008E6A04"/>
    <w:rsid w:val="008E6CDC"/>
    <w:rsid w:val="008E7186"/>
    <w:rsid w:val="008E7630"/>
    <w:rsid w:val="008E7AAC"/>
    <w:rsid w:val="008E7E40"/>
    <w:rsid w:val="008F00DD"/>
    <w:rsid w:val="008F00E0"/>
    <w:rsid w:val="008F0480"/>
    <w:rsid w:val="008F06CD"/>
    <w:rsid w:val="008F0BEF"/>
    <w:rsid w:val="008F1090"/>
    <w:rsid w:val="008F11A2"/>
    <w:rsid w:val="008F1B13"/>
    <w:rsid w:val="008F200B"/>
    <w:rsid w:val="008F20B0"/>
    <w:rsid w:val="008F21F1"/>
    <w:rsid w:val="008F24BC"/>
    <w:rsid w:val="008F2595"/>
    <w:rsid w:val="008F2B89"/>
    <w:rsid w:val="008F2BF9"/>
    <w:rsid w:val="008F2FD8"/>
    <w:rsid w:val="008F3C4C"/>
    <w:rsid w:val="008F3F7B"/>
    <w:rsid w:val="008F4216"/>
    <w:rsid w:val="008F4FDE"/>
    <w:rsid w:val="008F50EC"/>
    <w:rsid w:val="008F6553"/>
    <w:rsid w:val="008F678D"/>
    <w:rsid w:val="008F6869"/>
    <w:rsid w:val="008F6952"/>
    <w:rsid w:val="008F6B64"/>
    <w:rsid w:val="008F6D5A"/>
    <w:rsid w:val="008F785D"/>
    <w:rsid w:val="008F7BEF"/>
    <w:rsid w:val="00900786"/>
    <w:rsid w:val="00900A92"/>
    <w:rsid w:val="00900ADC"/>
    <w:rsid w:val="009018B3"/>
    <w:rsid w:val="009019A6"/>
    <w:rsid w:val="009020EB"/>
    <w:rsid w:val="0090226C"/>
    <w:rsid w:val="00902282"/>
    <w:rsid w:val="00902388"/>
    <w:rsid w:val="00902438"/>
    <w:rsid w:val="00902D24"/>
    <w:rsid w:val="009030E1"/>
    <w:rsid w:val="009041AB"/>
    <w:rsid w:val="009048A2"/>
    <w:rsid w:val="00904ACC"/>
    <w:rsid w:val="00904BCD"/>
    <w:rsid w:val="00904BCE"/>
    <w:rsid w:val="00904D5A"/>
    <w:rsid w:val="00904DAD"/>
    <w:rsid w:val="00904E37"/>
    <w:rsid w:val="00904EEB"/>
    <w:rsid w:val="009053AB"/>
    <w:rsid w:val="00905833"/>
    <w:rsid w:val="00905BCB"/>
    <w:rsid w:val="00906346"/>
    <w:rsid w:val="00906EDC"/>
    <w:rsid w:val="00906F0F"/>
    <w:rsid w:val="009072DC"/>
    <w:rsid w:val="009076F5"/>
    <w:rsid w:val="009104C7"/>
    <w:rsid w:val="00910A7C"/>
    <w:rsid w:val="00910D68"/>
    <w:rsid w:val="00910E9E"/>
    <w:rsid w:val="00910FF1"/>
    <w:rsid w:val="00911002"/>
    <w:rsid w:val="00911118"/>
    <w:rsid w:val="009111D3"/>
    <w:rsid w:val="00912711"/>
    <w:rsid w:val="009129B8"/>
    <w:rsid w:val="00912FC2"/>
    <w:rsid w:val="00913678"/>
    <w:rsid w:val="00913BE2"/>
    <w:rsid w:val="00913D39"/>
    <w:rsid w:val="00913D6E"/>
    <w:rsid w:val="00914556"/>
    <w:rsid w:val="009149AA"/>
    <w:rsid w:val="00914CD0"/>
    <w:rsid w:val="00915017"/>
    <w:rsid w:val="00915069"/>
    <w:rsid w:val="0091527D"/>
    <w:rsid w:val="009155E6"/>
    <w:rsid w:val="0091566F"/>
    <w:rsid w:val="00915AC2"/>
    <w:rsid w:val="00915DA0"/>
    <w:rsid w:val="00915DB3"/>
    <w:rsid w:val="00916BCB"/>
    <w:rsid w:val="00917297"/>
    <w:rsid w:val="009173F0"/>
    <w:rsid w:val="00917F56"/>
    <w:rsid w:val="00920562"/>
    <w:rsid w:val="0092058D"/>
    <w:rsid w:val="009208CB"/>
    <w:rsid w:val="00920956"/>
    <w:rsid w:val="00920F4F"/>
    <w:rsid w:val="00921249"/>
    <w:rsid w:val="009213B6"/>
    <w:rsid w:val="009214B4"/>
    <w:rsid w:val="009215E5"/>
    <w:rsid w:val="00921E1F"/>
    <w:rsid w:val="00922411"/>
    <w:rsid w:val="009227F1"/>
    <w:rsid w:val="00922BB8"/>
    <w:rsid w:val="00922C50"/>
    <w:rsid w:val="00922E0F"/>
    <w:rsid w:val="00922E76"/>
    <w:rsid w:val="00923078"/>
    <w:rsid w:val="009231D3"/>
    <w:rsid w:val="009232E0"/>
    <w:rsid w:val="009235E5"/>
    <w:rsid w:val="009247C9"/>
    <w:rsid w:val="009248D2"/>
    <w:rsid w:val="00924999"/>
    <w:rsid w:val="00925232"/>
    <w:rsid w:val="00925312"/>
    <w:rsid w:val="00925453"/>
    <w:rsid w:val="0092550D"/>
    <w:rsid w:val="00925676"/>
    <w:rsid w:val="00925D7A"/>
    <w:rsid w:val="00925DB7"/>
    <w:rsid w:val="0092626A"/>
    <w:rsid w:val="00926771"/>
    <w:rsid w:val="00926911"/>
    <w:rsid w:val="00926B0F"/>
    <w:rsid w:val="00926BC4"/>
    <w:rsid w:val="00926C84"/>
    <w:rsid w:val="00926D03"/>
    <w:rsid w:val="00927057"/>
    <w:rsid w:val="00927241"/>
    <w:rsid w:val="00927254"/>
    <w:rsid w:val="00927282"/>
    <w:rsid w:val="009278C2"/>
    <w:rsid w:val="00930105"/>
    <w:rsid w:val="00930476"/>
    <w:rsid w:val="009309CF"/>
    <w:rsid w:val="00930AA5"/>
    <w:rsid w:val="00930C61"/>
    <w:rsid w:val="00930D46"/>
    <w:rsid w:val="00931671"/>
    <w:rsid w:val="00931849"/>
    <w:rsid w:val="00931881"/>
    <w:rsid w:val="00931A14"/>
    <w:rsid w:val="00931B1C"/>
    <w:rsid w:val="00931B29"/>
    <w:rsid w:val="00931D0C"/>
    <w:rsid w:val="00932159"/>
    <w:rsid w:val="0093243F"/>
    <w:rsid w:val="00932517"/>
    <w:rsid w:val="0093291D"/>
    <w:rsid w:val="00932949"/>
    <w:rsid w:val="00932B36"/>
    <w:rsid w:val="00932E01"/>
    <w:rsid w:val="009340D0"/>
    <w:rsid w:val="00934684"/>
    <w:rsid w:val="00934BBD"/>
    <w:rsid w:val="00935190"/>
    <w:rsid w:val="00935241"/>
    <w:rsid w:val="00935352"/>
    <w:rsid w:val="00935523"/>
    <w:rsid w:val="00935A14"/>
    <w:rsid w:val="00935BFE"/>
    <w:rsid w:val="00936421"/>
    <w:rsid w:val="009364C9"/>
    <w:rsid w:val="0093666C"/>
    <w:rsid w:val="00937021"/>
    <w:rsid w:val="009373A2"/>
    <w:rsid w:val="009376B0"/>
    <w:rsid w:val="009377C0"/>
    <w:rsid w:val="009408D7"/>
    <w:rsid w:val="00940950"/>
    <w:rsid w:val="009409B2"/>
    <w:rsid w:val="00940F10"/>
    <w:rsid w:val="0094159A"/>
    <w:rsid w:val="009415D2"/>
    <w:rsid w:val="0094162A"/>
    <w:rsid w:val="009416FD"/>
    <w:rsid w:val="009417C1"/>
    <w:rsid w:val="009426CA"/>
    <w:rsid w:val="00942CB3"/>
    <w:rsid w:val="00942FEB"/>
    <w:rsid w:val="00943031"/>
    <w:rsid w:val="009433D1"/>
    <w:rsid w:val="00943CE9"/>
    <w:rsid w:val="00943CF0"/>
    <w:rsid w:val="00943EDA"/>
    <w:rsid w:val="00944046"/>
    <w:rsid w:val="00944606"/>
    <w:rsid w:val="00944E38"/>
    <w:rsid w:val="00944E41"/>
    <w:rsid w:val="009451AB"/>
    <w:rsid w:val="00945C65"/>
    <w:rsid w:val="00946105"/>
    <w:rsid w:val="00946690"/>
    <w:rsid w:val="00946C5D"/>
    <w:rsid w:val="00946D76"/>
    <w:rsid w:val="0094709C"/>
    <w:rsid w:val="00947692"/>
    <w:rsid w:val="00947F7C"/>
    <w:rsid w:val="009509BD"/>
    <w:rsid w:val="00950F7D"/>
    <w:rsid w:val="009514AE"/>
    <w:rsid w:val="00952526"/>
    <w:rsid w:val="00952BA0"/>
    <w:rsid w:val="00953365"/>
    <w:rsid w:val="009533FD"/>
    <w:rsid w:val="00953513"/>
    <w:rsid w:val="00953938"/>
    <w:rsid w:val="00953BAC"/>
    <w:rsid w:val="00953BC9"/>
    <w:rsid w:val="00953E81"/>
    <w:rsid w:val="00953EBB"/>
    <w:rsid w:val="0095455D"/>
    <w:rsid w:val="009548B8"/>
    <w:rsid w:val="009549FE"/>
    <w:rsid w:val="00954D27"/>
    <w:rsid w:val="00954E23"/>
    <w:rsid w:val="00954EC4"/>
    <w:rsid w:val="00954F72"/>
    <w:rsid w:val="00955033"/>
    <w:rsid w:val="00955178"/>
    <w:rsid w:val="00955423"/>
    <w:rsid w:val="009554C0"/>
    <w:rsid w:val="009558D0"/>
    <w:rsid w:val="009559D7"/>
    <w:rsid w:val="00955CC4"/>
    <w:rsid w:val="009569FE"/>
    <w:rsid w:val="00956D33"/>
    <w:rsid w:val="0095728C"/>
    <w:rsid w:val="00957624"/>
    <w:rsid w:val="0095774A"/>
    <w:rsid w:val="00960116"/>
    <w:rsid w:val="00960A14"/>
    <w:rsid w:val="00960E9D"/>
    <w:rsid w:val="00960EBC"/>
    <w:rsid w:val="009611FE"/>
    <w:rsid w:val="00961B44"/>
    <w:rsid w:val="009620CA"/>
    <w:rsid w:val="00962F12"/>
    <w:rsid w:val="009630D3"/>
    <w:rsid w:val="009631C0"/>
    <w:rsid w:val="00963294"/>
    <w:rsid w:val="00963295"/>
    <w:rsid w:val="009636A6"/>
    <w:rsid w:val="00963A86"/>
    <w:rsid w:val="00963F26"/>
    <w:rsid w:val="00964027"/>
    <w:rsid w:val="0096406F"/>
    <w:rsid w:val="0096432E"/>
    <w:rsid w:val="009648D6"/>
    <w:rsid w:val="00964CCB"/>
    <w:rsid w:val="00965129"/>
    <w:rsid w:val="00965A6C"/>
    <w:rsid w:val="00965D53"/>
    <w:rsid w:val="00965D88"/>
    <w:rsid w:val="009663A0"/>
    <w:rsid w:val="009668CD"/>
    <w:rsid w:val="00966BFC"/>
    <w:rsid w:val="00967C9C"/>
    <w:rsid w:val="009700D0"/>
    <w:rsid w:val="00970427"/>
    <w:rsid w:val="00970B45"/>
    <w:rsid w:val="00970BE4"/>
    <w:rsid w:val="00970DB5"/>
    <w:rsid w:val="00970DC8"/>
    <w:rsid w:val="00971127"/>
    <w:rsid w:val="00971177"/>
    <w:rsid w:val="00971635"/>
    <w:rsid w:val="00971666"/>
    <w:rsid w:val="00971CCA"/>
    <w:rsid w:val="0097204B"/>
    <w:rsid w:val="00972087"/>
    <w:rsid w:val="00972242"/>
    <w:rsid w:val="009725A4"/>
    <w:rsid w:val="00972733"/>
    <w:rsid w:val="00972833"/>
    <w:rsid w:val="00972AF4"/>
    <w:rsid w:val="00972D94"/>
    <w:rsid w:val="00973135"/>
    <w:rsid w:val="0097316F"/>
    <w:rsid w:val="00973267"/>
    <w:rsid w:val="009739F9"/>
    <w:rsid w:val="009745EF"/>
    <w:rsid w:val="009749B1"/>
    <w:rsid w:val="00974A45"/>
    <w:rsid w:val="00974C7D"/>
    <w:rsid w:val="00974E21"/>
    <w:rsid w:val="00974EE5"/>
    <w:rsid w:val="00974EF9"/>
    <w:rsid w:val="00975372"/>
    <w:rsid w:val="00975399"/>
    <w:rsid w:val="0097594D"/>
    <w:rsid w:val="00975E4A"/>
    <w:rsid w:val="009760D6"/>
    <w:rsid w:val="009768FD"/>
    <w:rsid w:val="0097690D"/>
    <w:rsid w:val="00976A61"/>
    <w:rsid w:val="00976A9D"/>
    <w:rsid w:val="00976AD3"/>
    <w:rsid w:val="00976C70"/>
    <w:rsid w:val="00976E00"/>
    <w:rsid w:val="009772C0"/>
    <w:rsid w:val="00977316"/>
    <w:rsid w:val="0097732B"/>
    <w:rsid w:val="0097777F"/>
    <w:rsid w:val="0097794C"/>
    <w:rsid w:val="00977E50"/>
    <w:rsid w:val="00980115"/>
    <w:rsid w:val="00980268"/>
    <w:rsid w:val="00980321"/>
    <w:rsid w:val="0098126A"/>
    <w:rsid w:val="009817E3"/>
    <w:rsid w:val="00981B64"/>
    <w:rsid w:val="00981E25"/>
    <w:rsid w:val="0098248D"/>
    <w:rsid w:val="00982996"/>
    <w:rsid w:val="00983152"/>
    <w:rsid w:val="0098322A"/>
    <w:rsid w:val="00983BF9"/>
    <w:rsid w:val="00983D2B"/>
    <w:rsid w:val="00983F9B"/>
    <w:rsid w:val="0098465B"/>
    <w:rsid w:val="00984E8F"/>
    <w:rsid w:val="0098517D"/>
    <w:rsid w:val="00985564"/>
    <w:rsid w:val="009858FC"/>
    <w:rsid w:val="009859AB"/>
    <w:rsid w:val="009859BB"/>
    <w:rsid w:val="009863E7"/>
    <w:rsid w:val="00986404"/>
    <w:rsid w:val="00986728"/>
    <w:rsid w:val="009867FB"/>
    <w:rsid w:val="00986885"/>
    <w:rsid w:val="00986AF1"/>
    <w:rsid w:val="00986B22"/>
    <w:rsid w:val="00986B25"/>
    <w:rsid w:val="0098735C"/>
    <w:rsid w:val="009874F5"/>
    <w:rsid w:val="00987795"/>
    <w:rsid w:val="00987884"/>
    <w:rsid w:val="00987AE5"/>
    <w:rsid w:val="00987B4B"/>
    <w:rsid w:val="0099044B"/>
    <w:rsid w:val="0099122A"/>
    <w:rsid w:val="00991568"/>
    <w:rsid w:val="009924F4"/>
    <w:rsid w:val="00992867"/>
    <w:rsid w:val="00992A0A"/>
    <w:rsid w:val="00992F5D"/>
    <w:rsid w:val="009936CB"/>
    <w:rsid w:val="009938F1"/>
    <w:rsid w:val="00993A84"/>
    <w:rsid w:val="00993F5B"/>
    <w:rsid w:val="00993F6F"/>
    <w:rsid w:val="009944AA"/>
    <w:rsid w:val="00994C22"/>
    <w:rsid w:val="00994EA5"/>
    <w:rsid w:val="00995264"/>
    <w:rsid w:val="00995769"/>
    <w:rsid w:val="00995C40"/>
    <w:rsid w:val="00995E4B"/>
    <w:rsid w:val="0099657C"/>
    <w:rsid w:val="00996A4C"/>
    <w:rsid w:val="00996B9C"/>
    <w:rsid w:val="00996BF7"/>
    <w:rsid w:val="00996CE2"/>
    <w:rsid w:val="00996DFD"/>
    <w:rsid w:val="009972B3"/>
    <w:rsid w:val="009977E9"/>
    <w:rsid w:val="00997EBD"/>
    <w:rsid w:val="00997F14"/>
    <w:rsid w:val="009A0695"/>
    <w:rsid w:val="009A094E"/>
    <w:rsid w:val="009A09E7"/>
    <w:rsid w:val="009A0BC1"/>
    <w:rsid w:val="009A0BE3"/>
    <w:rsid w:val="009A0D1B"/>
    <w:rsid w:val="009A1155"/>
    <w:rsid w:val="009A220A"/>
    <w:rsid w:val="009A26C7"/>
    <w:rsid w:val="009A29F4"/>
    <w:rsid w:val="009A2FAE"/>
    <w:rsid w:val="009A2FBC"/>
    <w:rsid w:val="009A32CE"/>
    <w:rsid w:val="009A34C5"/>
    <w:rsid w:val="009A3943"/>
    <w:rsid w:val="009A3D7B"/>
    <w:rsid w:val="009A3D82"/>
    <w:rsid w:val="009A40F4"/>
    <w:rsid w:val="009A431B"/>
    <w:rsid w:val="009A491E"/>
    <w:rsid w:val="009A4BDE"/>
    <w:rsid w:val="009A547E"/>
    <w:rsid w:val="009A5ACE"/>
    <w:rsid w:val="009A645C"/>
    <w:rsid w:val="009A656F"/>
    <w:rsid w:val="009A6DD8"/>
    <w:rsid w:val="009A6E33"/>
    <w:rsid w:val="009A7114"/>
    <w:rsid w:val="009A7277"/>
    <w:rsid w:val="009A785A"/>
    <w:rsid w:val="009A7D1E"/>
    <w:rsid w:val="009A7FDE"/>
    <w:rsid w:val="009B0A4A"/>
    <w:rsid w:val="009B1052"/>
    <w:rsid w:val="009B145B"/>
    <w:rsid w:val="009B23B9"/>
    <w:rsid w:val="009B2717"/>
    <w:rsid w:val="009B2CBA"/>
    <w:rsid w:val="009B3084"/>
    <w:rsid w:val="009B31C2"/>
    <w:rsid w:val="009B3267"/>
    <w:rsid w:val="009B373A"/>
    <w:rsid w:val="009B44AB"/>
    <w:rsid w:val="009B467E"/>
    <w:rsid w:val="009B46E9"/>
    <w:rsid w:val="009B4868"/>
    <w:rsid w:val="009B523D"/>
    <w:rsid w:val="009B5438"/>
    <w:rsid w:val="009B5581"/>
    <w:rsid w:val="009B5665"/>
    <w:rsid w:val="009B61BC"/>
    <w:rsid w:val="009B6599"/>
    <w:rsid w:val="009B72E2"/>
    <w:rsid w:val="009B7365"/>
    <w:rsid w:val="009B74D3"/>
    <w:rsid w:val="009B75D6"/>
    <w:rsid w:val="009B75F5"/>
    <w:rsid w:val="009B76C0"/>
    <w:rsid w:val="009B7918"/>
    <w:rsid w:val="009B7925"/>
    <w:rsid w:val="009B7A9D"/>
    <w:rsid w:val="009B7CFD"/>
    <w:rsid w:val="009B7E52"/>
    <w:rsid w:val="009C04A9"/>
    <w:rsid w:val="009C051B"/>
    <w:rsid w:val="009C06F9"/>
    <w:rsid w:val="009C0D2D"/>
    <w:rsid w:val="009C0F34"/>
    <w:rsid w:val="009C1383"/>
    <w:rsid w:val="009C32C6"/>
    <w:rsid w:val="009C376B"/>
    <w:rsid w:val="009C3AFE"/>
    <w:rsid w:val="009C3B23"/>
    <w:rsid w:val="009C3C13"/>
    <w:rsid w:val="009C3C3E"/>
    <w:rsid w:val="009C4538"/>
    <w:rsid w:val="009C463B"/>
    <w:rsid w:val="009C52B3"/>
    <w:rsid w:val="009C548A"/>
    <w:rsid w:val="009C5858"/>
    <w:rsid w:val="009C5A24"/>
    <w:rsid w:val="009C5DCC"/>
    <w:rsid w:val="009C6225"/>
    <w:rsid w:val="009C7283"/>
    <w:rsid w:val="009C72C6"/>
    <w:rsid w:val="009C73EC"/>
    <w:rsid w:val="009C7D4D"/>
    <w:rsid w:val="009D078C"/>
    <w:rsid w:val="009D083F"/>
    <w:rsid w:val="009D0F04"/>
    <w:rsid w:val="009D0FB4"/>
    <w:rsid w:val="009D1735"/>
    <w:rsid w:val="009D1E4B"/>
    <w:rsid w:val="009D1FC7"/>
    <w:rsid w:val="009D264D"/>
    <w:rsid w:val="009D2889"/>
    <w:rsid w:val="009D290A"/>
    <w:rsid w:val="009D3007"/>
    <w:rsid w:val="009D30E5"/>
    <w:rsid w:val="009D3310"/>
    <w:rsid w:val="009D355D"/>
    <w:rsid w:val="009D37F7"/>
    <w:rsid w:val="009D4E47"/>
    <w:rsid w:val="009D547F"/>
    <w:rsid w:val="009D54B6"/>
    <w:rsid w:val="009D55CE"/>
    <w:rsid w:val="009D5B1F"/>
    <w:rsid w:val="009D5B8E"/>
    <w:rsid w:val="009D5BE3"/>
    <w:rsid w:val="009D5E69"/>
    <w:rsid w:val="009D637E"/>
    <w:rsid w:val="009D6A25"/>
    <w:rsid w:val="009D6D0A"/>
    <w:rsid w:val="009D7000"/>
    <w:rsid w:val="009D7109"/>
    <w:rsid w:val="009D75C7"/>
    <w:rsid w:val="009D79BF"/>
    <w:rsid w:val="009D7C18"/>
    <w:rsid w:val="009D7D91"/>
    <w:rsid w:val="009E024C"/>
    <w:rsid w:val="009E08EC"/>
    <w:rsid w:val="009E0AEE"/>
    <w:rsid w:val="009E0DDD"/>
    <w:rsid w:val="009E0DE7"/>
    <w:rsid w:val="009E0F85"/>
    <w:rsid w:val="009E0FE1"/>
    <w:rsid w:val="009E1A6C"/>
    <w:rsid w:val="009E2004"/>
    <w:rsid w:val="009E22D1"/>
    <w:rsid w:val="009E23B6"/>
    <w:rsid w:val="009E2503"/>
    <w:rsid w:val="009E251D"/>
    <w:rsid w:val="009E27D2"/>
    <w:rsid w:val="009E27FD"/>
    <w:rsid w:val="009E3271"/>
    <w:rsid w:val="009E3652"/>
    <w:rsid w:val="009E3756"/>
    <w:rsid w:val="009E39AD"/>
    <w:rsid w:val="009E44C5"/>
    <w:rsid w:val="009E4B0C"/>
    <w:rsid w:val="009E4DA7"/>
    <w:rsid w:val="009E5217"/>
    <w:rsid w:val="009E58E0"/>
    <w:rsid w:val="009E5DE7"/>
    <w:rsid w:val="009E6630"/>
    <w:rsid w:val="009E66B2"/>
    <w:rsid w:val="009E6862"/>
    <w:rsid w:val="009E687E"/>
    <w:rsid w:val="009E6C8A"/>
    <w:rsid w:val="009E6EED"/>
    <w:rsid w:val="009E724E"/>
    <w:rsid w:val="009E7A26"/>
    <w:rsid w:val="009E7CB7"/>
    <w:rsid w:val="009E7E0F"/>
    <w:rsid w:val="009E7E52"/>
    <w:rsid w:val="009F0183"/>
    <w:rsid w:val="009F01AC"/>
    <w:rsid w:val="009F039E"/>
    <w:rsid w:val="009F0B8C"/>
    <w:rsid w:val="009F1360"/>
    <w:rsid w:val="009F2497"/>
    <w:rsid w:val="009F3223"/>
    <w:rsid w:val="009F3369"/>
    <w:rsid w:val="009F341A"/>
    <w:rsid w:val="009F399B"/>
    <w:rsid w:val="009F3D34"/>
    <w:rsid w:val="009F3E7D"/>
    <w:rsid w:val="009F47A0"/>
    <w:rsid w:val="009F54AF"/>
    <w:rsid w:val="009F58D8"/>
    <w:rsid w:val="009F5CFC"/>
    <w:rsid w:val="009F6136"/>
    <w:rsid w:val="009F6347"/>
    <w:rsid w:val="009F73F2"/>
    <w:rsid w:val="009F7D94"/>
    <w:rsid w:val="00A00571"/>
    <w:rsid w:val="00A00D06"/>
    <w:rsid w:val="00A00F3A"/>
    <w:rsid w:val="00A010BB"/>
    <w:rsid w:val="00A01187"/>
    <w:rsid w:val="00A01B2B"/>
    <w:rsid w:val="00A02128"/>
    <w:rsid w:val="00A03625"/>
    <w:rsid w:val="00A0376C"/>
    <w:rsid w:val="00A03997"/>
    <w:rsid w:val="00A0406C"/>
    <w:rsid w:val="00A04289"/>
    <w:rsid w:val="00A0485A"/>
    <w:rsid w:val="00A04DCC"/>
    <w:rsid w:val="00A04F65"/>
    <w:rsid w:val="00A05A94"/>
    <w:rsid w:val="00A05D9F"/>
    <w:rsid w:val="00A0685B"/>
    <w:rsid w:val="00A06AC4"/>
    <w:rsid w:val="00A06BFF"/>
    <w:rsid w:val="00A06DE6"/>
    <w:rsid w:val="00A079DD"/>
    <w:rsid w:val="00A1055C"/>
    <w:rsid w:val="00A106A2"/>
    <w:rsid w:val="00A10835"/>
    <w:rsid w:val="00A109F0"/>
    <w:rsid w:val="00A10FCD"/>
    <w:rsid w:val="00A110EC"/>
    <w:rsid w:val="00A11400"/>
    <w:rsid w:val="00A11546"/>
    <w:rsid w:val="00A123B0"/>
    <w:rsid w:val="00A12860"/>
    <w:rsid w:val="00A12BE8"/>
    <w:rsid w:val="00A138E1"/>
    <w:rsid w:val="00A13901"/>
    <w:rsid w:val="00A13923"/>
    <w:rsid w:val="00A13C62"/>
    <w:rsid w:val="00A13FEB"/>
    <w:rsid w:val="00A1423E"/>
    <w:rsid w:val="00A143A3"/>
    <w:rsid w:val="00A143E8"/>
    <w:rsid w:val="00A14BEF"/>
    <w:rsid w:val="00A14BFB"/>
    <w:rsid w:val="00A14F3E"/>
    <w:rsid w:val="00A1532D"/>
    <w:rsid w:val="00A15887"/>
    <w:rsid w:val="00A1595F"/>
    <w:rsid w:val="00A15AC2"/>
    <w:rsid w:val="00A15AED"/>
    <w:rsid w:val="00A16076"/>
    <w:rsid w:val="00A16180"/>
    <w:rsid w:val="00A1673D"/>
    <w:rsid w:val="00A16F2A"/>
    <w:rsid w:val="00A16F34"/>
    <w:rsid w:val="00A178D4"/>
    <w:rsid w:val="00A17991"/>
    <w:rsid w:val="00A17DE8"/>
    <w:rsid w:val="00A20231"/>
    <w:rsid w:val="00A203E3"/>
    <w:rsid w:val="00A20564"/>
    <w:rsid w:val="00A20A94"/>
    <w:rsid w:val="00A20A9A"/>
    <w:rsid w:val="00A210CD"/>
    <w:rsid w:val="00A2189D"/>
    <w:rsid w:val="00A218B6"/>
    <w:rsid w:val="00A219DB"/>
    <w:rsid w:val="00A223F6"/>
    <w:rsid w:val="00A23242"/>
    <w:rsid w:val="00A2337F"/>
    <w:rsid w:val="00A233E7"/>
    <w:rsid w:val="00A2374C"/>
    <w:rsid w:val="00A239A9"/>
    <w:rsid w:val="00A23EC3"/>
    <w:rsid w:val="00A2481A"/>
    <w:rsid w:val="00A25470"/>
    <w:rsid w:val="00A25501"/>
    <w:rsid w:val="00A25C18"/>
    <w:rsid w:val="00A25C1F"/>
    <w:rsid w:val="00A264E0"/>
    <w:rsid w:val="00A269AB"/>
    <w:rsid w:val="00A26D38"/>
    <w:rsid w:val="00A30168"/>
    <w:rsid w:val="00A3046E"/>
    <w:rsid w:val="00A3125B"/>
    <w:rsid w:val="00A318DA"/>
    <w:rsid w:val="00A32685"/>
    <w:rsid w:val="00A32B06"/>
    <w:rsid w:val="00A32D2C"/>
    <w:rsid w:val="00A334F1"/>
    <w:rsid w:val="00A33C22"/>
    <w:rsid w:val="00A33F0C"/>
    <w:rsid w:val="00A34922"/>
    <w:rsid w:val="00A34AD7"/>
    <w:rsid w:val="00A34D1B"/>
    <w:rsid w:val="00A351E0"/>
    <w:rsid w:val="00A35AA3"/>
    <w:rsid w:val="00A36465"/>
    <w:rsid w:val="00A36AD8"/>
    <w:rsid w:val="00A36E01"/>
    <w:rsid w:val="00A37FC8"/>
    <w:rsid w:val="00A401BF"/>
    <w:rsid w:val="00A40888"/>
    <w:rsid w:val="00A40E33"/>
    <w:rsid w:val="00A412AD"/>
    <w:rsid w:val="00A420EC"/>
    <w:rsid w:val="00A42469"/>
    <w:rsid w:val="00A42986"/>
    <w:rsid w:val="00A42D15"/>
    <w:rsid w:val="00A42D4F"/>
    <w:rsid w:val="00A432A6"/>
    <w:rsid w:val="00A4357E"/>
    <w:rsid w:val="00A43F8D"/>
    <w:rsid w:val="00A4435D"/>
    <w:rsid w:val="00A445DF"/>
    <w:rsid w:val="00A4524F"/>
    <w:rsid w:val="00A45B2D"/>
    <w:rsid w:val="00A45B73"/>
    <w:rsid w:val="00A45E97"/>
    <w:rsid w:val="00A465D8"/>
    <w:rsid w:val="00A46C16"/>
    <w:rsid w:val="00A46D76"/>
    <w:rsid w:val="00A47356"/>
    <w:rsid w:val="00A47560"/>
    <w:rsid w:val="00A479D1"/>
    <w:rsid w:val="00A505F7"/>
    <w:rsid w:val="00A50612"/>
    <w:rsid w:val="00A50855"/>
    <w:rsid w:val="00A50C71"/>
    <w:rsid w:val="00A51120"/>
    <w:rsid w:val="00A51245"/>
    <w:rsid w:val="00A5126B"/>
    <w:rsid w:val="00A5164A"/>
    <w:rsid w:val="00A5167A"/>
    <w:rsid w:val="00A518BB"/>
    <w:rsid w:val="00A51DFF"/>
    <w:rsid w:val="00A51ED8"/>
    <w:rsid w:val="00A52309"/>
    <w:rsid w:val="00A529BC"/>
    <w:rsid w:val="00A52F98"/>
    <w:rsid w:val="00A531F6"/>
    <w:rsid w:val="00A539A5"/>
    <w:rsid w:val="00A5433E"/>
    <w:rsid w:val="00A5439D"/>
    <w:rsid w:val="00A54405"/>
    <w:rsid w:val="00A54751"/>
    <w:rsid w:val="00A54E72"/>
    <w:rsid w:val="00A557C7"/>
    <w:rsid w:val="00A5594F"/>
    <w:rsid w:val="00A55C43"/>
    <w:rsid w:val="00A55C75"/>
    <w:rsid w:val="00A566E5"/>
    <w:rsid w:val="00A567F5"/>
    <w:rsid w:val="00A568F3"/>
    <w:rsid w:val="00A56C4A"/>
    <w:rsid w:val="00A56F02"/>
    <w:rsid w:val="00A57200"/>
    <w:rsid w:val="00A57576"/>
    <w:rsid w:val="00A575D1"/>
    <w:rsid w:val="00A57696"/>
    <w:rsid w:val="00A57EE6"/>
    <w:rsid w:val="00A601B4"/>
    <w:rsid w:val="00A60570"/>
    <w:rsid w:val="00A60A10"/>
    <w:rsid w:val="00A60F7B"/>
    <w:rsid w:val="00A612E3"/>
    <w:rsid w:val="00A61582"/>
    <w:rsid w:val="00A617ED"/>
    <w:rsid w:val="00A6255F"/>
    <w:rsid w:val="00A626F0"/>
    <w:rsid w:val="00A62A83"/>
    <w:rsid w:val="00A62BDC"/>
    <w:rsid w:val="00A62CDA"/>
    <w:rsid w:val="00A62D24"/>
    <w:rsid w:val="00A62F77"/>
    <w:rsid w:val="00A632A3"/>
    <w:rsid w:val="00A63438"/>
    <w:rsid w:val="00A636B1"/>
    <w:rsid w:val="00A637A1"/>
    <w:rsid w:val="00A638C1"/>
    <w:rsid w:val="00A63C4C"/>
    <w:rsid w:val="00A63F27"/>
    <w:rsid w:val="00A63FB9"/>
    <w:rsid w:val="00A6400E"/>
    <w:rsid w:val="00A64224"/>
    <w:rsid w:val="00A64534"/>
    <w:rsid w:val="00A6475F"/>
    <w:rsid w:val="00A64818"/>
    <w:rsid w:val="00A64866"/>
    <w:rsid w:val="00A64F7B"/>
    <w:rsid w:val="00A650A4"/>
    <w:rsid w:val="00A653F6"/>
    <w:rsid w:val="00A654B3"/>
    <w:rsid w:val="00A6575E"/>
    <w:rsid w:val="00A65B8A"/>
    <w:rsid w:val="00A6618D"/>
    <w:rsid w:val="00A66296"/>
    <w:rsid w:val="00A665B6"/>
    <w:rsid w:val="00A66F41"/>
    <w:rsid w:val="00A67012"/>
    <w:rsid w:val="00A6726D"/>
    <w:rsid w:val="00A6731F"/>
    <w:rsid w:val="00A67998"/>
    <w:rsid w:val="00A67A2F"/>
    <w:rsid w:val="00A67AEA"/>
    <w:rsid w:val="00A70AD5"/>
    <w:rsid w:val="00A70B00"/>
    <w:rsid w:val="00A713C9"/>
    <w:rsid w:val="00A7158D"/>
    <w:rsid w:val="00A716BA"/>
    <w:rsid w:val="00A71836"/>
    <w:rsid w:val="00A720DB"/>
    <w:rsid w:val="00A72A3A"/>
    <w:rsid w:val="00A7361A"/>
    <w:rsid w:val="00A73A02"/>
    <w:rsid w:val="00A73E24"/>
    <w:rsid w:val="00A74E59"/>
    <w:rsid w:val="00A7501A"/>
    <w:rsid w:val="00A75155"/>
    <w:rsid w:val="00A756F6"/>
    <w:rsid w:val="00A757CE"/>
    <w:rsid w:val="00A75DDA"/>
    <w:rsid w:val="00A7638C"/>
    <w:rsid w:val="00A764FA"/>
    <w:rsid w:val="00A767EE"/>
    <w:rsid w:val="00A769D1"/>
    <w:rsid w:val="00A76B27"/>
    <w:rsid w:val="00A76B70"/>
    <w:rsid w:val="00A775B0"/>
    <w:rsid w:val="00A77CFF"/>
    <w:rsid w:val="00A80256"/>
    <w:rsid w:val="00A80A11"/>
    <w:rsid w:val="00A811B6"/>
    <w:rsid w:val="00A816A5"/>
    <w:rsid w:val="00A817E1"/>
    <w:rsid w:val="00A8185B"/>
    <w:rsid w:val="00A81B9D"/>
    <w:rsid w:val="00A81C32"/>
    <w:rsid w:val="00A8223C"/>
    <w:rsid w:val="00A8286E"/>
    <w:rsid w:val="00A82B39"/>
    <w:rsid w:val="00A82C15"/>
    <w:rsid w:val="00A82D2E"/>
    <w:rsid w:val="00A834A2"/>
    <w:rsid w:val="00A835A5"/>
    <w:rsid w:val="00A8399E"/>
    <w:rsid w:val="00A83E80"/>
    <w:rsid w:val="00A841FC"/>
    <w:rsid w:val="00A84731"/>
    <w:rsid w:val="00A848EE"/>
    <w:rsid w:val="00A84F9C"/>
    <w:rsid w:val="00A854E4"/>
    <w:rsid w:val="00A857A4"/>
    <w:rsid w:val="00A857D4"/>
    <w:rsid w:val="00A85A9F"/>
    <w:rsid w:val="00A85B19"/>
    <w:rsid w:val="00A85B3B"/>
    <w:rsid w:val="00A85CDE"/>
    <w:rsid w:val="00A8618C"/>
    <w:rsid w:val="00A869CD"/>
    <w:rsid w:val="00A869D9"/>
    <w:rsid w:val="00A86D4E"/>
    <w:rsid w:val="00A8702B"/>
    <w:rsid w:val="00A870BF"/>
    <w:rsid w:val="00A871A2"/>
    <w:rsid w:val="00A872ED"/>
    <w:rsid w:val="00A87829"/>
    <w:rsid w:val="00A87901"/>
    <w:rsid w:val="00A9039C"/>
    <w:rsid w:val="00A9095C"/>
    <w:rsid w:val="00A910DB"/>
    <w:rsid w:val="00A9112A"/>
    <w:rsid w:val="00A91134"/>
    <w:rsid w:val="00A916AD"/>
    <w:rsid w:val="00A91775"/>
    <w:rsid w:val="00A917B0"/>
    <w:rsid w:val="00A91F12"/>
    <w:rsid w:val="00A91FE2"/>
    <w:rsid w:val="00A9221E"/>
    <w:rsid w:val="00A929D9"/>
    <w:rsid w:val="00A929F9"/>
    <w:rsid w:val="00A92ABB"/>
    <w:rsid w:val="00A92B87"/>
    <w:rsid w:val="00A937E9"/>
    <w:rsid w:val="00A93A6A"/>
    <w:rsid w:val="00A93D83"/>
    <w:rsid w:val="00A94576"/>
    <w:rsid w:val="00A948CE"/>
    <w:rsid w:val="00A94934"/>
    <w:rsid w:val="00A94C7A"/>
    <w:rsid w:val="00A9580C"/>
    <w:rsid w:val="00A958C7"/>
    <w:rsid w:val="00A958EA"/>
    <w:rsid w:val="00A95CE3"/>
    <w:rsid w:val="00A966E6"/>
    <w:rsid w:val="00A96A44"/>
    <w:rsid w:val="00A96C7C"/>
    <w:rsid w:val="00A96F37"/>
    <w:rsid w:val="00A97936"/>
    <w:rsid w:val="00A97A90"/>
    <w:rsid w:val="00A97A99"/>
    <w:rsid w:val="00AA05D1"/>
    <w:rsid w:val="00AA06D5"/>
    <w:rsid w:val="00AA0B7D"/>
    <w:rsid w:val="00AA0CCE"/>
    <w:rsid w:val="00AA1194"/>
    <w:rsid w:val="00AA13C2"/>
    <w:rsid w:val="00AA13D5"/>
    <w:rsid w:val="00AA1CDA"/>
    <w:rsid w:val="00AA2540"/>
    <w:rsid w:val="00AA29F7"/>
    <w:rsid w:val="00AA2ADB"/>
    <w:rsid w:val="00AA2C4D"/>
    <w:rsid w:val="00AA30F9"/>
    <w:rsid w:val="00AA31C8"/>
    <w:rsid w:val="00AA33A6"/>
    <w:rsid w:val="00AA33A9"/>
    <w:rsid w:val="00AA36FB"/>
    <w:rsid w:val="00AA3BCE"/>
    <w:rsid w:val="00AA4063"/>
    <w:rsid w:val="00AA4154"/>
    <w:rsid w:val="00AA422E"/>
    <w:rsid w:val="00AA437F"/>
    <w:rsid w:val="00AA450B"/>
    <w:rsid w:val="00AA4945"/>
    <w:rsid w:val="00AA4A83"/>
    <w:rsid w:val="00AA4B62"/>
    <w:rsid w:val="00AA5BBC"/>
    <w:rsid w:val="00AA5F9F"/>
    <w:rsid w:val="00AA6A48"/>
    <w:rsid w:val="00AA6AC8"/>
    <w:rsid w:val="00AA7DC4"/>
    <w:rsid w:val="00AA7E1A"/>
    <w:rsid w:val="00AB025F"/>
    <w:rsid w:val="00AB0289"/>
    <w:rsid w:val="00AB0316"/>
    <w:rsid w:val="00AB05EF"/>
    <w:rsid w:val="00AB088D"/>
    <w:rsid w:val="00AB0CD0"/>
    <w:rsid w:val="00AB1011"/>
    <w:rsid w:val="00AB1366"/>
    <w:rsid w:val="00AB1DBC"/>
    <w:rsid w:val="00AB2205"/>
    <w:rsid w:val="00AB2593"/>
    <w:rsid w:val="00AB25BC"/>
    <w:rsid w:val="00AB2969"/>
    <w:rsid w:val="00AB2F3D"/>
    <w:rsid w:val="00AB33DD"/>
    <w:rsid w:val="00AB394D"/>
    <w:rsid w:val="00AB3E68"/>
    <w:rsid w:val="00AB413B"/>
    <w:rsid w:val="00AB41AE"/>
    <w:rsid w:val="00AB4268"/>
    <w:rsid w:val="00AB439A"/>
    <w:rsid w:val="00AB4FB6"/>
    <w:rsid w:val="00AB505D"/>
    <w:rsid w:val="00AB50FB"/>
    <w:rsid w:val="00AB5BFE"/>
    <w:rsid w:val="00AB6042"/>
    <w:rsid w:val="00AB60DB"/>
    <w:rsid w:val="00AB6119"/>
    <w:rsid w:val="00AB662A"/>
    <w:rsid w:val="00AB6631"/>
    <w:rsid w:val="00AB680D"/>
    <w:rsid w:val="00AB698A"/>
    <w:rsid w:val="00AB6A49"/>
    <w:rsid w:val="00AB6C87"/>
    <w:rsid w:val="00AB6EBE"/>
    <w:rsid w:val="00AB6FD9"/>
    <w:rsid w:val="00AB727D"/>
    <w:rsid w:val="00AB74D7"/>
    <w:rsid w:val="00AB758C"/>
    <w:rsid w:val="00AB759A"/>
    <w:rsid w:val="00AB7628"/>
    <w:rsid w:val="00AB7A1C"/>
    <w:rsid w:val="00AB7B4B"/>
    <w:rsid w:val="00AB7E1C"/>
    <w:rsid w:val="00AC0448"/>
    <w:rsid w:val="00AC076C"/>
    <w:rsid w:val="00AC08E5"/>
    <w:rsid w:val="00AC0993"/>
    <w:rsid w:val="00AC0B17"/>
    <w:rsid w:val="00AC0CFA"/>
    <w:rsid w:val="00AC0F08"/>
    <w:rsid w:val="00AC108B"/>
    <w:rsid w:val="00AC124C"/>
    <w:rsid w:val="00AC13E4"/>
    <w:rsid w:val="00AC1EAB"/>
    <w:rsid w:val="00AC23EF"/>
    <w:rsid w:val="00AC2840"/>
    <w:rsid w:val="00AC29D5"/>
    <w:rsid w:val="00AC2BAD"/>
    <w:rsid w:val="00AC3242"/>
    <w:rsid w:val="00AC3538"/>
    <w:rsid w:val="00AC35F3"/>
    <w:rsid w:val="00AC378E"/>
    <w:rsid w:val="00AC39F8"/>
    <w:rsid w:val="00AC3A2C"/>
    <w:rsid w:val="00AC3ACB"/>
    <w:rsid w:val="00AC3E11"/>
    <w:rsid w:val="00AC481E"/>
    <w:rsid w:val="00AC496B"/>
    <w:rsid w:val="00AC4B3B"/>
    <w:rsid w:val="00AC5038"/>
    <w:rsid w:val="00AC50D7"/>
    <w:rsid w:val="00AC5116"/>
    <w:rsid w:val="00AC58F7"/>
    <w:rsid w:val="00AC597D"/>
    <w:rsid w:val="00AC62F2"/>
    <w:rsid w:val="00AC68A6"/>
    <w:rsid w:val="00AC6904"/>
    <w:rsid w:val="00AC70C5"/>
    <w:rsid w:val="00AD0853"/>
    <w:rsid w:val="00AD0CAF"/>
    <w:rsid w:val="00AD0EAD"/>
    <w:rsid w:val="00AD0FC4"/>
    <w:rsid w:val="00AD14B9"/>
    <w:rsid w:val="00AD1BA8"/>
    <w:rsid w:val="00AD1EA5"/>
    <w:rsid w:val="00AD1EAC"/>
    <w:rsid w:val="00AD35E2"/>
    <w:rsid w:val="00AD3992"/>
    <w:rsid w:val="00AD3ACD"/>
    <w:rsid w:val="00AD3DAD"/>
    <w:rsid w:val="00AD4061"/>
    <w:rsid w:val="00AD4250"/>
    <w:rsid w:val="00AD456C"/>
    <w:rsid w:val="00AD468C"/>
    <w:rsid w:val="00AD4A6C"/>
    <w:rsid w:val="00AD4BF0"/>
    <w:rsid w:val="00AD4C4B"/>
    <w:rsid w:val="00AD4F20"/>
    <w:rsid w:val="00AD56EA"/>
    <w:rsid w:val="00AD58BE"/>
    <w:rsid w:val="00AD5A9B"/>
    <w:rsid w:val="00AD6735"/>
    <w:rsid w:val="00AD697F"/>
    <w:rsid w:val="00AD7190"/>
    <w:rsid w:val="00AD7397"/>
    <w:rsid w:val="00AD7B56"/>
    <w:rsid w:val="00AE0086"/>
    <w:rsid w:val="00AE00C7"/>
    <w:rsid w:val="00AE0370"/>
    <w:rsid w:val="00AE082B"/>
    <w:rsid w:val="00AE0EC8"/>
    <w:rsid w:val="00AE12A2"/>
    <w:rsid w:val="00AE18AF"/>
    <w:rsid w:val="00AE1C89"/>
    <w:rsid w:val="00AE29B6"/>
    <w:rsid w:val="00AE316B"/>
    <w:rsid w:val="00AE358B"/>
    <w:rsid w:val="00AE3DF3"/>
    <w:rsid w:val="00AE44FE"/>
    <w:rsid w:val="00AE47A4"/>
    <w:rsid w:val="00AE4B84"/>
    <w:rsid w:val="00AE4D6F"/>
    <w:rsid w:val="00AE507F"/>
    <w:rsid w:val="00AE517B"/>
    <w:rsid w:val="00AE523D"/>
    <w:rsid w:val="00AE52E1"/>
    <w:rsid w:val="00AE5418"/>
    <w:rsid w:val="00AE54B8"/>
    <w:rsid w:val="00AE592D"/>
    <w:rsid w:val="00AE5E61"/>
    <w:rsid w:val="00AE5EDC"/>
    <w:rsid w:val="00AE614C"/>
    <w:rsid w:val="00AE6454"/>
    <w:rsid w:val="00AE6821"/>
    <w:rsid w:val="00AE706A"/>
    <w:rsid w:val="00AE74A6"/>
    <w:rsid w:val="00AE79E1"/>
    <w:rsid w:val="00AF0017"/>
    <w:rsid w:val="00AF0492"/>
    <w:rsid w:val="00AF0686"/>
    <w:rsid w:val="00AF09E4"/>
    <w:rsid w:val="00AF1568"/>
    <w:rsid w:val="00AF1782"/>
    <w:rsid w:val="00AF1EA8"/>
    <w:rsid w:val="00AF2044"/>
    <w:rsid w:val="00AF2782"/>
    <w:rsid w:val="00AF2D3A"/>
    <w:rsid w:val="00AF354F"/>
    <w:rsid w:val="00AF491A"/>
    <w:rsid w:val="00AF4A0C"/>
    <w:rsid w:val="00AF4CF1"/>
    <w:rsid w:val="00AF5045"/>
    <w:rsid w:val="00AF50C0"/>
    <w:rsid w:val="00AF51CE"/>
    <w:rsid w:val="00AF5551"/>
    <w:rsid w:val="00AF56E6"/>
    <w:rsid w:val="00AF5965"/>
    <w:rsid w:val="00AF5DAF"/>
    <w:rsid w:val="00AF5DB1"/>
    <w:rsid w:val="00AF5FCA"/>
    <w:rsid w:val="00AF62FA"/>
    <w:rsid w:val="00AF6435"/>
    <w:rsid w:val="00AF6493"/>
    <w:rsid w:val="00AF6590"/>
    <w:rsid w:val="00AF6B97"/>
    <w:rsid w:val="00AF6C1A"/>
    <w:rsid w:val="00AF6EEB"/>
    <w:rsid w:val="00AF6FDA"/>
    <w:rsid w:val="00AF71E3"/>
    <w:rsid w:val="00AF7841"/>
    <w:rsid w:val="00AF787B"/>
    <w:rsid w:val="00AF7902"/>
    <w:rsid w:val="00AF79E3"/>
    <w:rsid w:val="00AF7E4F"/>
    <w:rsid w:val="00AF7F89"/>
    <w:rsid w:val="00B00014"/>
    <w:rsid w:val="00B00A65"/>
    <w:rsid w:val="00B00B15"/>
    <w:rsid w:val="00B01BC9"/>
    <w:rsid w:val="00B01D2C"/>
    <w:rsid w:val="00B01E31"/>
    <w:rsid w:val="00B02143"/>
    <w:rsid w:val="00B0274A"/>
    <w:rsid w:val="00B027B3"/>
    <w:rsid w:val="00B02971"/>
    <w:rsid w:val="00B02D5B"/>
    <w:rsid w:val="00B02EA3"/>
    <w:rsid w:val="00B03027"/>
    <w:rsid w:val="00B03174"/>
    <w:rsid w:val="00B034F1"/>
    <w:rsid w:val="00B03A1D"/>
    <w:rsid w:val="00B03ADA"/>
    <w:rsid w:val="00B03AF8"/>
    <w:rsid w:val="00B04266"/>
    <w:rsid w:val="00B043F1"/>
    <w:rsid w:val="00B04658"/>
    <w:rsid w:val="00B0520E"/>
    <w:rsid w:val="00B05B1C"/>
    <w:rsid w:val="00B05ECC"/>
    <w:rsid w:val="00B06432"/>
    <w:rsid w:val="00B06570"/>
    <w:rsid w:val="00B065B6"/>
    <w:rsid w:val="00B066A9"/>
    <w:rsid w:val="00B06B64"/>
    <w:rsid w:val="00B075ED"/>
    <w:rsid w:val="00B07BEE"/>
    <w:rsid w:val="00B07C36"/>
    <w:rsid w:val="00B07E50"/>
    <w:rsid w:val="00B100C0"/>
    <w:rsid w:val="00B1061D"/>
    <w:rsid w:val="00B107A3"/>
    <w:rsid w:val="00B10B4F"/>
    <w:rsid w:val="00B11BF7"/>
    <w:rsid w:val="00B11CC9"/>
    <w:rsid w:val="00B11DF5"/>
    <w:rsid w:val="00B11EFB"/>
    <w:rsid w:val="00B11FB9"/>
    <w:rsid w:val="00B12051"/>
    <w:rsid w:val="00B1262F"/>
    <w:rsid w:val="00B12732"/>
    <w:rsid w:val="00B12735"/>
    <w:rsid w:val="00B135FE"/>
    <w:rsid w:val="00B13E6C"/>
    <w:rsid w:val="00B14012"/>
    <w:rsid w:val="00B140E6"/>
    <w:rsid w:val="00B14F13"/>
    <w:rsid w:val="00B15111"/>
    <w:rsid w:val="00B151D0"/>
    <w:rsid w:val="00B152F6"/>
    <w:rsid w:val="00B15914"/>
    <w:rsid w:val="00B15B06"/>
    <w:rsid w:val="00B15BF3"/>
    <w:rsid w:val="00B15C40"/>
    <w:rsid w:val="00B15CC9"/>
    <w:rsid w:val="00B15E4A"/>
    <w:rsid w:val="00B1616E"/>
    <w:rsid w:val="00B163F1"/>
    <w:rsid w:val="00B166F7"/>
    <w:rsid w:val="00B167BA"/>
    <w:rsid w:val="00B171A4"/>
    <w:rsid w:val="00B1724B"/>
    <w:rsid w:val="00B17568"/>
    <w:rsid w:val="00B178EF"/>
    <w:rsid w:val="00B17C54"/>
    <w:rsid w:val="00B17E5A"/>
    <w:rsid w:val="00B20167"/>
    <w:rsid w:val="00B20D1C"/>
    <w:rsid w:val="00B21436"/>
    <w:rsid w:val="00B2158C"/>
    <w:rsid w:val="00B21616"/>
    <w:rsid w:val="00B216D1"/>
    <w:rsid w:val="00B22425"/>
    <w:rsid w:val="00B2248C"/>
    <w:rsid w:val="00B22578"/>
    <w:rsid w:val="00B23190"/>
    <w:rsid w:val="00B23DEA"/>
    <w:rsid w:val="00B23F01"/>
    <w:rsid w:val="00B24741"/>
    <w:rsid w:val="00B24834"/>
    <w:rsid w:val="00B24AAB"/>
    <w:rsid w:val="00B254C1"/>
    <w:rsid w:val="00B25766"/>
    <w:rsid w:val="00B25804"/>
    <w:rsid w:val="00B2693B"/>
    <w:rsid w:val="00B26946"/>
    <w:rsid w:val="00B26F31"/>
    <w:rsid w:val="00B27112"/>
    <w:rsid w:val="00B27A9C"/>
    <w:rsid w:val="00B303FE"/>
    <w:rsid w:val="00B30BC6"/>
    <w:rsid w:val="00B30F87"/>
    <w:rsid w:val="00B31A2C"/>
    <w:rsid w:val="00B31CA4"/>
    <w:rsid w:val="00B3203C"/>
    <w:rsid w:val="00B326E7"/>
    <w:rsid w:val="00B326EE"/>
    <w:rsid w:val="00B3296C"/>
    <w:rsid w:val="00B32979"/>
    <w:rsid w:val="00B32B1D"/>
    <w:rsid w:val="00B32C8C"/>
    <w:rsid w:val="00B33417"/>
    <w:rsid w:val="00B334E9"/>
    <w:rsid w:val="00B33B7C"/>
    <w:rsid w:val="00B33C21"/>
    <w:rsid w:val="00B33E7E"/>
    <w:rsid w:val="00B34893"/>
    <w:rsid w:val="00B34E91"/>
    <w:rsid w:val="00B354F4"/>
    <w:rsid w:val="00B35795"/>
    <w:rsid w:val="00B3621E"/>
    <w:rsid w:val="00B36275"/>
    <w:rsid w:val="00B362CA"/>
    <w:rsid w:val="00B3675E"/>
    <w:rsid w:val="00B369E0"/>
    <w:rsid w:val="00B36CA2"/>
    <w:rsid w:val="00B37278"/>
    <w:rsid w:val="00B40060"/>
    <w:rsid w:val="00B4061D"/>
    <w:rsid w:val="00B407B5"/>
    <w:rsid w:val="00B40A9A"/>
    <w:rsid w:val="00B40C38"/>
    <w:rsid w:val="00B41034"/>
    <w:rsid w:val="00B41362"/>
    <w:rsid w:val="00B413ED"/>
    <w:rsid w:val="00B41826"/>
    <w:rsid w:val="00B41D50"/>
    <w:rsid w:val="00B420CA"/>
    <w:rsid w:val="00B424C5"/>
    <w:rsid w:val="00B4250F"/>
    <w:rsid w:val="00B425FD"/>
    <w:rsid w:val="00B4291A"/>
    <w:rsid w:val="00B43C69"/>
    <w:rsid w:val="00B43E8F"/>
    <w:rsid w:val="00B43F3A"/>
    <w:rsid w:val="00B43FA3"/>
    <w:rsid w:val="00B43FDF"/>
    <w:rsid w:val="00B44168"/>
    <w:rsid w:val="00B442E1"/>
    <w:rsid w:val="00B444BD"/>
    <w:rsid w:val="00B44554"/>
    <w:rsid w:val="00B4471B"/>
    <w:rsid w:val="00B458EB"/>
    <w:rsid w:val="00B45B1A"/>
    <w:rsid w:val="00B45C9F"/>
    <w:rsid w:val="00B45F8F"/>
    <w:rsid w:val="00B461B6"/>
    <w:rsid w:val="00B462CB"/>
    <w:rsid w:val="00B465E0"/>
    <w:rsid w:val="00B46D40"/>
    <w:rsid w:val="00B46D84"/>
    <w:rsid w:val="00B475C7"/>
    <w:rsid w:val="00B476C6"/>
    <w:rsid w:val="00B477A7"/>
    <w:rsid w:val="00B477D3"/>
    <w:rsid w:val="00B4791E"/>
    <w:rsid w:val="00B479A1"/>
    <w:rsid w:val="00B47A5A"/>
    <w:rsid w:val="00B47B95"/>
    <w:rsid w:val="00B47EAA"/>
    <w:rsid w:val="00B47F7A"/>
    <w:rsid w:val="00B47FF5"/>
    <w:rsid w:val="00B50400"/>
    <w:rsid w:val="00B50EE5"/>
    <w:rsid w:val="00B519D8"/>
    <w:rsid w:val="00B51B7F"/>
    <w:rsid w:val="00B51D50"/>
    <w:rsid w:val="00B51E3B"/>
    <w:rsid w:val="00B522BB"/>
    <w:rsid w:val="00B524E2"/>
    <w:rsid w:val="00B5256E"/>
    <w:rsid w:val="00B53B6B"/>
    <w:rsid w:val="00B54571"/>
    <w:rsid w:val="00B5490E"/>
    <w:rsid w:val="00B54D30"/>
    <w:rsid w:val="00B55113"/>
    <w:rsid w:val="00B552E9"/>
    <w:rsid w:val="00B57098"/>
    <w:rsid w:val="00B572D8"/>
    <w:rsid w:val="00B579AB"/>
    <w:rsid w:val="00B57C03"/>
    <w:rsid w:val="00B57D09"/>
    <w:rsid w:val="00B60BAC"/>
    <w:rsid w:val="00B61045"/>
    <w:rsid w:val="00B61249"/>
    <w:rsid w:val="00B61425"/>
    <w:rsid w:val="00B616FC"/>
    <w:rsid w:val="00B61904"/>
    <w:rsid w:val="00B61B8C"/>
    <w:rsid w:val="00B62420"/>
    <w:rsid w:val="00B629F3"/>
    <w:rsid w:val="00B63237"/>
    <w:rsid w:val="00B63413"/>
    <w:rsid w:val="00B63F0F"/>
    <w:rsid w:val="00B64087"/>
    <w:rsid w:val="00B650F1"/>
    <w:rsid w:val="00B65419"/>
    <w:rsid w:val="00B65C14"/>
    <w:rsid w:val="00B65E98"/>
    <w:rsid w:val="00B66216"/>
    <w:rsid w:val="00B662A0"/>
    <w:rsid w:val="00B6639C"/>
    <w:rsid w:val="00B6666F"/>
    <w:rsid w:val="00B6669C"/>
    <w:rsid w:val="00B66B70"/>
    <w:rsid w:val="00B66F69"/>
    <w:rsid w:val="00B6753F"/>
    <w:rsid w:val="00B67906"/>
    <w:rsid w:val="00B67C36"/>
    <w:rsid w:val="00B67F32"/>
    <w:rsid w:val="00B67FB0"/>
    <w:rsid w:val="00B701E3"/>
    <w:rsid w:val="00B70B58"/>
    <w:rsid w:val="00B711D5"/>
    <w:rsid w:val="00B713C5"/>
    <w:rsid w:val="00B718E9"/>
    <w:rsid w:val="00B71F61"/>
    <w:rsid w:val="00B72D9B"/>
    <w:rsid w:val="00B72F81"/>
    <w:rsid w:val="00B73174"/>
    <w:rsid w:val="00B73718"/>
    <w:rsid w:val="00B73CB7"/>
    <w:rsid w:val="00B73CCB"/>
    <w:rsid w:val="00B7409D"/>
    <w:rsid w:val="00B74555"/>
    <w:rsid w:val="00B7507E"/>
    <w:rsid w:val="00B75424"/>
    <w:rsid w:val="00B75C99"/>
    <w:rsid w:val="00B75D55"/>
    <w:rsid w:val="00B764B1"/>
    <w:rsid w:val="00B76588"/>
    <w:rsid w:val="00B767DB"/>
    <w:rsid w:val="00B80265"/>
    <w:rsid w:val="00B80530"/>
    <w:rsid w:val="00B807D6"/>
    <w:rsid w:val="00B80930"/>
    <w:rsid w:val="00B80DBA"/>
    <w:rsid w:val="00B81AA0"/>
    <w:rsid w:val="00B81B8F"/>
    <w:rsid w:val="00B81CC8"/>
    <w:rsid w:val="00B81E32"/>
    <w:rsid w:val="00B81F06"/>
    <w:rsid w:val="00B82968"/>
    <w:rsid w:val="00B829B9"/>
    <w:rsid w:val="00B82A05"/>
    <w:rsid w:val="00B82BA1"/>
    <w:rsid w:val="00B82C62"/>
    <w:rsid w:val="00B82F9D"/>
    <w:rsid w:val="00B8308D"/>
    <w:rsid w:val="00B835A7"/>
    <w:rsid w:val="00B83BC0"/>
    <w:rsid w:val="00B83FDE"/>
    <w:rsid w:val="00B85306"/>
    <w:rsid w:val="00B85D98"/>
    <w:rsid w:val="00B860BC"/>
    <w:rsid w:val="00B861EB"/>
    <w:rsid w:val="00B8674E"/>
    <w:rsid w:val="00B8675F"/>
    <w:rsid w:val="00B86AA2"/>
    <w:rsid w:val="00B86AAC"/>
    <w:rsid w:val="00B86B54"/>
    <w:rsid w:val="00B87027"/>
    <w:rsid w:val="00B87203"/>
    <w:rsid w:val="00B8721E"/>
    <w:rsid w:val="00B9092C"/>
    <w:rsid w:val="00B90A64"/>
    <w:rsid w:val="00B90EF4"/>
    <w:rsid w:val="00B91A4C"/>
    <w:rsid w:val="00B91A8F"/>
    <w:rsid w:val="00B9205B"/>
    <w:rsid w:val="00B92090"/>
    <w:rsid w:val="00B9210A"/>
    <w:rsid w:val="00B9254A"/>
    <w:rsid w:val="00B92C88"/>
    <w:rsid w:val="00B92CD0"/>
    <w:rsid w:val="00B92EFE"/>
    <w:rsid w:val="00B92F06"/>
    <w:rsid w:val="00B93897"/>
    <w:rsid w:val="00B93B53"/>
    <w:rsid w:val="00B93D61"/>
    <w:rsid w:val="00B9437A"/>
    <w:rsid w:val="00B946F3"/>
    <w:rsid w:val="00B94902"/>
    <w:rsid w:val="00B94B50"/>
    <w:rsid w:val="00B94E8C"/>
    <w:rsid w:val="00B94F60"/>
    <w:rsid w:val="00B957FB"/>
    <w:rsid w:val="00B95853"/>
    <w:rsid w:val="00B95AA6"/>
    <w:rsid w:val="00B95C3A"/>
    <w:rsid w:val="00B95FAF"/>
    <w:rsid w:val="00B963D9"/>
    <w:rsid w:val="00B966D0"/>
    <w:rsid w:val="00B9692F"/>
    <w:rsid w:val="00B9697F"/>
    <w:rsid w:val="00B96BAC"/>
    <w:rsid w:val="00B96D81"/>
    <w:rsid w:val="00B96DF6"/>
    <w:rsid w:val="00B96F5C"/>
    <w:rsid w:val="00B96F7B"/>
    <w:rsid w:val="00B96F8B"/>
    <w:rsid w:val="00B97385"/>
    <w:rsid w:val="00B97783"/>
    <w:rsid w:val="00B97809"/>
    <w:rsid w:val="00BA010B"/>
    <w:rsid w:val="00BA0259"/>
    <w:rsid w:val="00BA0A30"/>
    <w:rsid w:val="00BA0A90"/>
    <w:rsid w:val="00BA174A"/>
    <w:rsid w:val="00BA1850"/>
    <w:rsid w:val="00BA1F4D"/>
    <w:rsid w:val="00BA2F98"/>
    <w:rsid w:val="00BA2FD6"/>
    <w:rsid w:val="00BA325D"/>
    <w:rsid w:val="00BA3CEB"/>
    <w:rsid w:val="00BA4272"/>
    <w:rsid w:val="00BA49EF"/>
    <w:rsid w:val="00BA4D24"/>
    <w:rsid w:val="00BA4E22"/>
    <w:rsid w:val="00BA5280"/>
    <w:rsid w:val="00BA55D9"/>
    <w:rsid w:val="00BA5698"/>
    <w:rsid w:val="00BA59E5"/>
    <w:rsid w:val="00BA5EE6"/>
    <w:rsid w:val="00BA5F44"/>
    <w:rsid w:val="00BA647E"/>
    <w:rsid w:val="00BA6676"/>
    <w:rsid w:val="00BA672A"/>
    <w:rsid w:val="00BA6789"/>
    <w:rsid w:val="00BA7504"/>
    <w:rsid w:val="00BA7796"/>
    <w:rsid w:val="00BA7853"/>
    <w:rsid w:val="00BA7B70"/>
    <w:rsid w:val="00BA7C55"/>
    <w:rsid w:val="00BA7E5C"/>
    <w:rsid w:val="00BB0286"/>
    <w:rsid w:val="00BB0B36"/>
    <w:rsid w:val="00BB0F03"/>
    <w:rsid w:val="00BB0F58"/>
    <w:rsid w:val="00BB0F79"/>
    <w:rsid w:val="00BB1021"/>
    <w:rsid w:val="00BB1118"/>
    <w:rsid w:val="00BB1C1A"/>
    <w:rsid w:val="00BB1E88"/>
    <w:rsid w:val="00BB1E92"/>
    <w:rsid w:val="00BB203A"/>
    <w:rsid w:val="00BB280F"/>
    <w:rsid w:val="00BB2D56"/>
    <w:rsid w:val="00BB2DA1"/>
    <w:rsid w:val="00BB305B"/>
    <w:rsid w:val="00BB31F3"/>
    <w:rsid w:val="00BB380C"/>
    <w:rsid w:val="00BB39E8"/>
    <w:rsid w:val="00BB3C97"/>
    <w:rsid w:val="00BB4602"/>
    <w:rsid w:val="00BB521C"/>
    <w:rsid w:val="00BB54B2"/>
    <w:rsid w:val="00BB54E7"/>
    <w:rsid w:val="00BB5564"/>
    <w:rsid w:val="00BB5669"/>
    <w:rsid w:val="00BB5872"/>
    <w:rsid w:val="00BB58B1"/>
    <w:rsid w:val="00BB611C"/>
    <w:rsid w:val="00BB61E7"/>
    <w:rsid w:val="00BB628A"/>
    <w:rsid w:val="00BB6BC6"/>
    <w:rsid w:val="00BB703D"/>
    <w:rsid w:val="00BB7B5B"/>
    <w:rsid w:val="00BB7C86"/>
    <w:rsid w:val="00BB7C89"/>
    <w:rsid w:val="00BB7FAD"/>
    <w:rsid w:val="00BB7FE6"/>
    <w:rsid w:val="00BC01C0"/>
    <w:rsid w:val="00BC037D"/>
    <w:rsid w:val="00BC0B2F"/>
    <w:rsid w:val="00BC175C"/>
    <w:rsid w:val="00BC1A76"/>
    <w:rsid w:val="00BC1BE0"/>
    <w:rsid w:val="00BC241B"/>
    <w:rsid w:val="00BC2594"/>
    <w:rsid w:val="00BC2811"/>
    <w:rsid w:val="00BC2FC5"/>
    <w:rsid w:val="00BC33F2"/>
    <w:rsid w:val="00BC3A70"/>
    <w:rsid w:val="00BC3AEC"/>
    <w:rsid w:val="00BC40D7"/>
    <w:rsid w:val="00BC41CC"/>
    <w:rsid w:val="00BC459D"/>
    <w:rsid w:val="00BC4A91"/>
    <w:rsid w:val="00BC4D22"/>
    <w:rsid w:val="00BC508E"/>
    <w:rsid w:val="00BC5246"/>
    <w:rsid w:val="00BC531D"/>
    <w:rsid w:val="00BC5C1A"/>
    <w:rsid w:val="00BC632C"/>
    <w:rsid w:val="00BC6A0F"/>
    <w:rsid w:val="00BC6D4F"/>
    <w:rsid w:val="00BC6EC2"/>
    <w:rsid w:val="00BC70A6"/>
    <w:rsid w:val="00BC7569"/>
    <w:rsid w:val="00BC75F3"/>
    <w:rsid w:val="00BD01BB"/>
    <w:rsid w:val="00BD0522"/>
    <w:rsid w:val="00BD0C49"/>
    <w:rsid w:val="00BD11F0"/>
    <w:rsid w:val="00BD1291"/>
    <w:rsid w:val="00BD130E"/>
    <w:rsid w:val="00BD14E9"/>
    <w:rsid w:val="00BD15A2"/>
    <w:rsid w:val="00BD195C"/>
    <w:rsid w:val="00BD19BB"/>
    <w:rsid w:val="00BD262A"/>
    <w:rsid w:val="00BD28F7"/>
    <w:rsid w:val="00BD29B2"/>
    <w:rsid w:val="00BD2B19"/>
    <w:rsid w:val="00BD2FF6"/>
    <w:rsid w:val="00BD31C8"/>
    <w:rsid w:val="00BD329F"/>
    <w:rsid w:val="00BD38B4"/>
    <w:rsid w:val="00BD3A51"/>
    <w:rsid w:val="00BD40AB"/>
    <w:rsid w:val="00BD44BB"/>
    <w:rsid w:val="00BD490A"/>
    <w:rsid w:val="00BD4B35"/>
    <w:rsid w:val="00BD4DF6"/>
    <w:rsid w:val="00BD5162"/>
    <w:rsid w:val="00BD52FD"/>
    <w:rsid w:val="00BD537C"/>
    <w:rsid w:val="00BD5B9C"/>
    <w:rsid w:val="00BD5ED3"/>
    <w:rsid w:val="00BD5EE3"/>
    <w:rsid w:val="00BD5FAD"/>
    <w:rsid w:val="00BD6013"/>
    <w:rsid w:val="00BD60D6"/>
    <w:rsid w:val="00BD60FE"/>
    <w:rsid w:val="00BD62B0"/>
    <w:rsid w:val="00BD6A4E"/>
    <w:rsid w:val="00BD7154"/>
    <w:rsid w:val="00BD76B8"/>
    <w:rsid w:val="00BE09EC"/>
    <w:rsid w:val="00BE0AFA"/>
    <w:rsid w:val="00BE1221"/>
    <w:rsid w:val="00BE16FC"/>
    <w:rsid w:val="00BE1B93"/>
    <w:rsid w:val="00BE1BBF"/>
    <w:rsid w:val="00BE1CE2"/>
    <w:rsid w:val="00BE22EB"/>
    <w:rsid w:val="00BE2486"/>
    <w:rsid w:val="00BE2868"/>
    <w:rsid w:val="00BE294B"/>
    <w:rsid w:val="00BE2C28"/>
    <w:rsid w:val="00BE2DAA"/>
    <w:rsid w:val="00BE3D56"/>
    <w:rsid w:val="00BE4750"/>
    <w:rsid w:val="00BE4FAC"/>
    <w:rsid w:val="00BE5659"/>
    <w:rsid w:val="00BE63DA"/>
    <w:rsid w:val="00BE65D9"/>
    <w:rsid w:val="00BE6E5F"/>
    <w:rsid w:val="00BE6EE4"/>
    <w:rsid w:val="00BE73E6"/>
    <w:rsid w:val="00BE7B7A"/>
    <w:rsid w:val="00BE7BF2"/>
    <w:rsid w:val="00BE7C56"/>
    <w:rsid w:val="00BE7DA6"/>
    <w:rsid w:val="00BF0B93"/>
    <w:rsid w:val="00BF0C81"/>
    <w:rsid w:val="00BF0DB1"/>
    <w:rsid w:val="00BF0E7F"/>
    <w:rsid w:val="00BF0F73"/>
    <w:rsid w:val="00BF130E"/>
    <w:rsid w:val="00BF1813"/>
    <w:rsid w:val="00BF1FC7"/>
    <w:rsid w:val="00BF1FFF"/>
    <w:rsid w:val="00BF22AA"/>
    <w:rsid w:val="00BF2622"/>
    <w:rsid w:val="00BF2A88"/>
    <w:rsid w:val="00BF2CE3"/>
    <w:rsid w:val="00BF2E27"/>
    <w:rsid w:val="00BF2F34"/>
    <w:rsid w:val="00BF2FF9"/>
    <w:rsid w:val="00BF31A5"/>
    <w:rsid w:val="00BF336E"/>
    <w:rsid w:val="00BF3835"/>
    <w:rsid w:val="00BF4051"/>
    <w:rsid w:val="00BF4196"/>
    <w:rsid w:val="00BF47A6"/>
    <w:rsid w:val="00BF4A51"/>
    <w:rsid w:val="00BF4CD2"/>
    <w:rsid w:val="00BF4F5F"/>
    <w:rsid w:val="00BF5174"/>
    <w:rsid w:val="00BF51C4"/>
    <w:rsid w:val="00BF555C"/>
    <w:rsid w:val="00BF60B2"/>
    <w:rsid w:val="00BF62B5"/>
    <w:rsid w:val="00BF66B7"/>
    <w:rsid w:val="00BF6955"/>
    <w:rsid w:val="00BF698F"/>
    <w:rsid w:val="00BF6A1D"/>
    <w:rsid w:val="00BF6A1E"/>
    <w:rsid w:val="00BF6CEB"/>
    <w:rsid w:val="00BF6D53"/>
    <w:rsid w:val="00BF70A7"/>
    <w:rsid w:val="00BF70B9"/>
    <w:rsid w:val="00BF7AE7"/>
    <w:rsid w:val="00BF7C48"/>
    <w:rsid w:val="00BF7CC5"/>
    <w:rsid w:val="00BF7F02"/>
    <w:rsid w:val="00BF7FB9"/>
    <w:rsid w:val="00C00307"/>
    <w:rsid w:val="00C005D1"/>
    <w:rsid w:val="00C00AD5"/>
    <w:rsid w:val="00C00BC9"/>
    <w:rsid w:val="00C01089"/>
    <w:rsid w:val="00C019DC"/>
    <w:rsid w:val="00C02024"/>
    <w:rsid w:val="00C021D0"/>
    <w:rsid w:val="00C02B5D"/>
    <w:rsid w:val="00C02C00"/>
    <w:rsid w:val="00C0350A"/>
    <w:rsid w:val="00C04CF3"/>
    <w:rsid w:val="00C051C6"/>
    <w:rsid w:val="00C05577"/>
    <w:rsid w:val="00C05735"/>
    <w:rsid w:val="00C057B1"/>
    <w:rsid w:val="00C057DA"/>
    <w:rsid w:val="00C05A85"/>
    <w:rsid w:val="00C05B62"/>
    <w:rsid w:val="00C05E82"/>
    <w:rsid w:val="00C05FDD"/>
    <w:rsid w:val="00C05FF8"/>
    <w:rsid w:val="00C063E0"/>
    <w:rsid w:val="00C065CB"/>
    <w:rsid w:val="00C0670D"/>
    <w:rsid w:val="00C06A22"/>
    <w:rsid w:val="00C06B1E"/>
    <w:rsid w:val="00C0783B"/>
    <w:rsid w:val="00C07938"/>
    <w:rsid w:val="00C07B67"/>
    <w:rsid w:val="00C07C60"/>
    <w:rsid w:val="00C1012D"/>
    <w:rsid w:val="00C10324"/>
    <w:rsid w:val="00C10BEC"/>
    <w:rsid w:val="00C10C56"/>
    <w:rsid w:val="00C10D81"/>
    <w:rsid w:val="00C10EBA"/>
    <w:rsid w:val="00C10F45"/>
    <w:rsid w:val="00C11224"/>
    <w:rsid w:val="00C1190B"/>
    <w:rsid w:val="00C12431"/>
    <w:rsid w:val="00C128FE"/>
    <w:rsid w:val="00C1299F"/>
    <w:rsid w:val="00C13048"/>
    <w:rsid w:val="00C1305D"/>
    <w:rsid w:val="00C1402D"/>
    <w:rsid w:val="00C1449C"/>
    <w:rsid w:val="00C145B9"/>
    <w:rsid w:val="00C147AF"/>
    <w:rsid w:val="00C14F56"/>
    <w:rsid w:val="00C15BBD"/>
    <w:rsid w:val="00C167EE"/>
    <w:rsid w:val="00C16B39"/>
    <w:rsid w:val="00C16C46"/>
    <w:rsid w:val="00C16F19"/>
    <w:rsid w:val="00C1703D"/>
    <w:rsid w:val="00C20091"/>
    <w:rsid w:val="00C207D6"/>
    <w:rsid w:val="00C20E89"/>
    <w:rsid w:val="00C21462"/>
    <w:rsid w:val="00C215A6"/>
    <w:rsid w:val="00C217FF"/>
    <w:rsid w:val="00C218EC"/>
    <w:rsid w:val="00C2193F"/>
    <w:rsid w:val="00C21DCF"/>
    <w:rsid w:val="00C22158"/>
    <w:rsid w:val="00C22850"/>
    <w:rsid w:val="00C22907"/>
    <w:rsid w:val="00C22C09"/>
    <w:rsid w:val="00C22F09"/>
    <w:rsid w:val="00C2333E"/>
    <w:rsid w:val="00C2371D"/>
    <w:rsid w:val="00C238D8"/>
    <w:rsid w:val="00C23A3E"/>
    <w:rsid w:val="00C23B59"/>
    <w:rsid w:val="00C23B92"/>
    <w:rsid w:val="00C23E2F"/>
    <w:rsid w:val="00C24144"/>
    <w:rsid w:val="00C24341"/>
    <w:rsid w:val="00C24423"/>
    <w:rsid w:val="00C24C46"/>
    <w:rsid w:val="00C2573A"/>
    <w:rsid w:val="00C25C9A"/>
    <w:rsid w:val="00C25CE5"/>
    <w:rsid w:val="00C262B0"/>
    <w:rsid w:val="00C264AB"/>
    <w:rsid w:val="00C26AB4"/>
    <w:rsid w:val="00C26B25"/>
    <w:rsid w:val="00C26E72"/>
    <w:rsid w:val="00C26FE7"/>
    <w:rsid w:val="00C27812"/>
    <w:rsid w:val="00C27D1A"/>
    <w:rsid w:val="00C30390"/>
    <w:rsid w:val="00C308F8"/>
    <w:rsid w:val="00C309DD"/>
    <w:rsid w:val="00C30E65"/>
    <w:rsid w:val="00C311F0"/>
    <w:rsid w:val="00C31572"/>
    <w:rsid w:val="00C321C2"/>
    <w:rsid w:val="00C32213"/>
    <w:rsid w:val="00C3286D"/>
    <w:rsid w:val="00C32A1B"/>
    <w:rsid w:val="00C32E17"/>
    <w:rsid w:val="00C32F01"/>
    <w:rsid w:val="00C33024"/>
    <w:rsid w:val="00C337F8"/>
    <w:rsid w:val="00C33BCB"/>
    <w:rsid w:val="00C33D74"/>
    <w:rsid w:val="00C34272"/>
    <w:rsid w:val="00C34A6E"/>
    <w:rsid w:val="00C34E0C"/>
    <w:rsid w:val="00C3532F"/>
    <w:rsid w:val="00C36265"/>
    <w:rsid w:val="00C365C8"/>
    <w:rsid w:val="00C3669C"/>
    <w:rsid w:val="00C368EC"/>
    <w:rsid w:val="00C36B8C"/>
    <w:rsid w:val="00C37697"/>
    <w:rsid w:val="00C37F06"/>
    <w:rsid w:val="00C400D4"/>
    <w:rsid w:val="00C4055F"/>
    <w:rsid w:val="00C41C5E"/>
    <w:rsid w:val="00C41CC2"/>
    <w:rsid w:val="00C4207D"/>
    <w:rsid w:val="00C4209C"/>
    <w:rsid w:val="00C42306"/>
    <w:rsid w:val="00C42323"/>
    <w:rsid w:val="00C42377"/>
    <w:rsid w:val="00C427B5"/>
    <w:rsid w:val="00C42ED7"/>
    <w:rsid w:val="00C430D5"/>
    <w:rsid w:val="00C433D7"/>
    <w:rsid w:val="00C4366F"/>
    <w:rsid w:val="00C43873"/>
    <w:rsid w:val="00C44012"/>
    <w:rsid w:val="00C440B0"/>
    <w:rsid w:val="00C440BC"/>
    <w:rsid w:val="00C4443E"/>
    <w:rsid w:val="00C444E1"/>
    <w:rsid w:val="00C44817"/>
    <w:rsid w:val="00C44B4E"/>
    <w:rsid w:val="00C44CB6"/>
    <w:rsid w:val="00C45093"/>
    <w:rsid w:val="00C450CA"/>
    <w:rsid w:val="00C454A6"/>
    <w:rsid w:val="00C45DEE"/>
    <w:rsid w:val="00C464E8"/>
    <w:rsid w:val="00C46C19"/>
    <w:rsid w:val="00C477AB"/>
    <w:rsid w:val="00C477B8"/>
    <w:rsid w:val="00C47B4F"/>
    <w:rsid w:val="00C47F92"/>
    <w:rsid w:val="00C507DA"/>
    <w:rsid w:val="00C509AF"/>
    <w:rsid w:val="00C50FDC"/>
    <w:rsid w:val="00C51276"/>
    <w:rsid w:val="00C51339"/>
    <w:rsid w:val="00C514EF"/>
    <w:rsid w:val="00C51C19"/>
    <w:rsid w:val="00C51D6B"/>
    <w:rsid w:val="00C5226C"/>
    <w:rsid w:val="00C52612"/>
    <w:rsid w:val="00C5287E"/>
    <w:rsid w:val="00C52A42"/>
    <w:rsid w:val="00C52AAF"/>
    <w:rsid w:val="00C53628"/>
    <w:rsid w:val="00C53DDE"/>
    <w:rsid w:val="00C53E33"/>
    <w:rsid w:val="00C542F6"/>
    <w:rsid w:val="00C54308"/>
    <w:rsid w:val="00C54398"/>
    <w:rsid w:val="00C545F8"/>
    <w:rsid w:val="00C547C1"/>
    <w:rsid w:val="00C54D32"/>
    <w:rsid w:val="00C551FA"/>
    <w:rsid w:val="00C55215"/>
    <w:rsid w:val="00C55518"/>
    <w:rsid w:val="00C5557F"/>
    <w:rsid w:val="00C55C7C"/>
    <w:rsid w:val="00C55E86"/>
    <w:rsid w:val="00C56282"/>
    <w:rsid w:val="00C565C2"/>
    <w:rsid w:val="00C569B8"/>
    <w:rsid w:val="00C573A4"/>
    <w:rsid w:val="00C574F9"/>
    <w:rsid w:val="00C57B07"/>
    <w:rsid w:val="00C57F97"/>
    <w:rsid w:val="00C600F6"/>
    <w:rsid w:val="00C6028D"/>
    <w:rsid w:val="00C60AC1"/>
    <w:rsid w:val="00C61321"/>
    <w:rsid w:val="00C61A6A"/>
    <w:rsid w:val="00C61D7D"/>
    <w:rsid w:val="00C61F26"/>
    <w:rsid w:val="00C61F7B"/>
    <w:rsid w:val="00C62731"/>
    <w:rsid w:val="00C627EA"/>
    <w:rsid w:val="00C62D72"/>
    <w:rsid w:val="00C6301A"/>
    <w:rsid w:val="00C630F4"/>
    <w:rsid w:val="00C6398F"/>
    <w:rsid w:val="00C646E9"/>
    <w:rsid w:val="00C648A9"/>
    <w:rsid w:val="00C6539D"/>
    <w:rsid w:val="00C65506"/>
    <w:rsid w:val="00C658F3"/>
    <w:rsid w:val="00C65A56"/>
    <w:rsid w:val="00C65B82"/>
    <w:rsid w:val="00C65BD3"/>
    <w:rsid w:val="00C65DBB"/>
    <w:rsid w:val="00C665D1"/>
    <w:rsid w:val="00C666F3"/>
    <w:rsid w:val="00C66836"/>
    <w:rsid w:val="00C66A55"/>
    <w:rsid w:val="00C66B48"/>
    <w:rsid w:val="00C673D7"/>
    <w:rsid w:val="00C67925"/>
    <w:rsid w:val="00C70139"/>
    <w:rsid w:val="00C70487"/>
    <w:rsid w:val="00C704DF"/>
    <w:rsid w:val="00C7104D"/>
    <w:rsid w:val="00C71A30"/>
    <w:rsid w:val="00C7207E"/>
    <w:rsid w:val="00C7211E"/>
    <w:rsid w:val="00C7291D"/>
    <w:rsid w:val="00C72ACE"/>
    <w:rsid w:val="00C72DB3"/>
    <w:rsid w:val="00C7305B"/>
    <w:rsid w:val="00C730E2"/>
    <w:rsid w:val="00C73E4D"/>
    <w:rsid w:val="00C73EA6"/>
    <w:rsid w:val="00C74261"/>
    <w:rsid w:val="00C746F0"/>
    <w:rsid w:val="00C749D7"/>
    <w:rsid w:val="00C75EDC"/>
    <w:rsid w:val="00C77122"/>
    <w:rsid w:val="00C771BC"/>
    <w:rsid w:val="00C773B8"/>
    <w:rsid w:val="00C775DD"/>
    <w:rsid w:val="00C77B08"/>
    <w:rsid w:val="00C77C07"/>
    <w:rsid w:val="00C77D9A"/>
    <w:rsid w:val="00C77DA6"/>
    <w:rsid w:val="00C80439"/>
    <w:rsid w:val="00C806A0"/>
    <w:rsid w:val="00C816F1"/>
    <w:rsid w:val="00C819EC"/>
    <w:rsid w:val="00C81CA9"/>
    <w:rsid w:val="00C81CD2"/>
    <w:rsid w:val="00C81EAF"/>
    <w:rsid w:val="00C81F7B"/>
    <w:rsid w:val="00C81FB7"/>
    <w:rsid w:val="00C820E9"/>
    <w:rsid w:val="00C82132"/>
    <w:rsid w:val="00C82207"/>
    <w:rsid w:val="00C82222"/>
    <w:rsid w:val="00C82277"/>
    <w:rsid w:val="00C82383"/>
    <w:rsid w:val="00C8268B"/>
    <w:rsid w:val="00C82988"/>
    <w:rsid w:val="00C82D07"/>
    <w:rsid w:val="00C82E04"/>
    <w:rsid w:val="00C835EC"/>
    <w:rsid w:val="00C83FB9"/>
    <w:rsid w:val="00C84141"/>
    <w:rsid w:val="00C84D6F"/>
    <w:rsid w:val="00C84E15"/>
    <w:rsid w:val="00C85087"/>
    <w:rsid w:val="00C857EC"/>
    <w:rsid w:val="00C85A4B"/>
    <w:rsid w:val="00C86696"/>
    <w:rsid w:val="00C86A74"/>
    <w:rsid w:val="00C86D4E"/>
    <w:rsid w:val="00C8723A"/>
    <w:rsid w:val="00C8762E"/>
    <w:rsid w:val="00C879EC"/>
    <w:rsid w:val="00C9046A"/>
    <w:rsid w:val="00C9089B"/>
    <w:rsid w:val="00C9155E"/>
    <w:rsid w:val="00C91722"/>
    <w:rsid w:val="00C91778"/>
    <w:rsid w:val="00C923CC"/>
    <w:rsid w:val="00C92705"/>
    <w:rsid w:val="00C92CB8"/>
    <w:rsid w:val="00C92FF7"/>
    <w:rsid w:val="00C9301A"/>
    <w:rsid w:val="00C937D2"/>
    <w:rsid w:val="00C9381E"/>
    <w:rsid w:val="00C94007"/>
    <w:rsid w:val="00C944FF"/>
    <w:rsid w:val="00C94A70"/>
    <w:rsid w:val="00C94B8F"/>
    <w:rsid w:val="00C94BE1"/>
    <w:rsid w:val="00C94CF3"/>
    <w:rsid w:val="00C94E0D"/>
    <w:rsid w:val="00C94EE1"/>
    <w:rsid w:val="00C9531F"/>
    <w:rsid w:val="00C955A9"/>
    <w:rsid w:val="00C9574C"/>
    <w:rsid w:val="00C9594F"/>
    <w:rsid w:val="00C95ABA"/>
    <w:rsid w:val="00C95C7B"/>
    <w:rsid w:val="00C9603C"/>
    <w:rsid w:val="00C96EEA"/>
    <w:rsid w:val="00C971B0"/>
    <w:rsid w:val="00C9720B"/>
    <w:rsid w:val="00C9730C"/>
    <w:rsid w:val="00C97487"/>
    <w:rsid w:val="00C97777"/>
    <w:rsid w:val="00CA04DB"/>
    <w:rsid w:val="00CA0640"/>
    <w:rsid w:val="00CA06AF"/>
    <w:rsid w:val="00CA0776"/>
    <w:rsid w:val="00CA078E"/>
    <w:rsid w:val="00CA087D"/>
    <w:rsid w:val="00CA0FEB"/>
    <w:rsid w:val="00CA127A"/>
    <w:rsid w:val="00CA1400"/>
    <w:rsid w:val="00CA1468"/>
    <w:rsid w:val="00CA15E9"/>
    <w:rsid w:val="00CA15F4"/>
    <w:rsid w:val="00CA1C14"/>
    <w:rsid w:val="00CA1D92"/>
    <w:rsid w:val="00CA2412"/>
    <w:rsid w:val="00CA26F6"/>
    <w:rsid w:val="00CA2C76"/>
    <w:rsid w:val="00CA2E74"/>
    <w:rsid w:val="00CA357C"/>
    <w:rsid w:val="00CA3750"/>
    <w:rsid w:val="00CA37D5"/>
    <w:rsid w:val="00CA3F9F"/>
    <w:rsid w:val="00CA4172"/>
    <w:rsid w:val="00CA43E7"/>
    <w:rsid w:val="00CA4664"/>
    <w:rsid w:val="00CA5009"/>
    <w:rsid w:val="00CA53EC"/>
    <w:rsid w:val="00CA55DC"/>
    <w:rsid w:val="00CA5615"/>
    <w:rsid w:val="00CA699F"/>
    <w:rsid w:val="00CA712E"/>
    <w:rsid w:val="00CA724C"/>
    <w:rsid w:val="00CA734A"/>
    <w:rsid w:val="00CA7D1F"/>
    <w:rsid w:val="00CB01AE"/>
    <w:rsid w:val="00CB0681"/>
    <w:rsid w:val="00CB08DE"/>
    <w:rsid w:val="00CB103B"/>
    <w:rsid w:val="00CB10AF"/>
    <w:rsid w:val="00CB1461"/>
    <w:rsid w:val="00CB1638"/>
    <w:rsid w:val="00CB1FE3"/>
    <w:rsid w:val="00CB258F"/>
    <w:rsid w:val="00CB25DD"/>
    <w:rsid w:val="00CB2912"/>
    <w:rsid w:val="00CB29F8"/>
    <w:rsid w:val="00CB2DF3"/>
    <w:rsid w:val="00CB31AC"/>
    <w:rsid w:val="00CB3805"/>
    <w:rsid w:val="00CB3A33"/>
    <w:rsid w:val="00CB4141"/>
    <w:rsid w:val="00CB4877"/>
    <w:rsid w:val="00CB49A5"/>
    <w:rsid w:val="00CB4A68"/>
    <w:rsid w:val="00CB4F89"/>
    <w:rsid w:val="00CB4FFA"/>
    <w:rsid w:val="00CB575B"/>
    <w:rsid w:val="00CB5EBC"/>
    <w:rsid w:val="00CB5EC2"/>
    <w:rsid w:val="00CB607B"/>
    <w:rsid w:val="00CB612B"/>
    <w:rsid w:val="00CB644F"/>
    <w:rsid w:val="00CB646F"/>
    <w:rsid w:val="00CB6E3B"/>
    <w:rsid w:val="00CB705F"/>
    <w:rsid w:val="00CB7259"/>
    <w:rsid w:val="00CB7BB0"/>
    <w:rsid w:val="00CB7DF0"/>
    <w:rsid w:val="00CC00A5"/>
    <w:rsid w:val="00CC0271"/>
    <w:rsid w:val="00CC0607"/>
    <w:rsid w:val="00CC0687"/>
    <w:rsid w:val="00CC125E"/>
    <w:rsid w:val="00CC1627"/>
    <w:rsid w:val="00CC2282"/>
    <w:rsid w:val="00CC24E6"/>
    <w:rsid w:val="00CC264E"/>
    <w:rsid w:val="00CC357F"/>
    <w:rsid w:val="00CC3A5A"/>
    <w:rsid w:val="00CC3B88"/>
    <w:rsid w:val="00CC3F3F"/>
    <w:rsid w:val="00CC3F74"/>
    <w:rsid w:val="00CC4290"/>
    <w:rsid w:val="00CC4667"/>
    <w:rsid w:val="00CC4827"/>
    <w:rsid w:val="00CC48E3"/>
    <w:rsid w:val="00CC4D48"/>
    <w:rsid w:val="00CC5A57"/>
    <w:rsid w:val="00CC6C0F"/>
    <w:rsid w:val="00CC7623"/>
    <w:rsid w:val="00CC78BD"/>
    <w:rsid w:val="00CC7C19"/>
    <w:rsid w:val="00CC7FDA"/>
    <w:rsid w:val="00CD0149"/>
    <w:rsid w:val="00CD0816"/>
    <w:rsid w:val="00CD0940"/>
    <w:rsid w:val="00CD0CEB"/>
    <w:rsid w:val="00CD0D9B"/>
    <w:rsid w:val="00CD121B"/>
    <w:rsid w:val="00CD1F27"/>
    <w:rsid w:val="00CD2396"/>
    <w:rsid w:val="00CD2539"/>
    <w:rsid w:val="00CD2AE0"/>
    <w:rsid w:val="00CD2FA3"/>
    <w:rsid w:val="00CD48ED"/>
    <w:rsid w:val="00CD50AA"/>
    <w:rsid w:val="00CD53DC"/>
    <w:rsid w:val="00CD5477"/>
    <w:rsid w:val="00CD5631"/>
    <w:rsid w:val="00CD59B2"/>
    <w:rsid w:val="00CD5B87"/>
    <w:rsid w:val="00CD5D51"/>
    <w:rsid w:val="00CD60C0"/>
    <w:rsid w:val="00CD6861"/>
    <w:rsid w:val="00CD7149"/>
    <w:rsid w:val="00CD71BF"/>
    <w:rsid w:val="00CD7D78"/>
    <w:rsid w:val="00CD7DA5"/>
    <w:rsid w:val="00CD7DF5"/>
    <w:rsid w:val="00CD7E94"/>
    <w:rsid w:val="00CD7EC2"/>
    <w:rsid w:val="00CE06C4"/>
    <w:rsid w:val="00CE07B3"/>
    <w:rsid w:val="00CE08D3"/>
    <w:rsid w:val="00CE0B06"/>
    <w:rsid w:val="00CE0D9A"/>
    <w:rsid w:val="00CE0FFF"/>
    <w:rsid w:val="00CE1143"/>
    <w:rsid w:val="00CE12BF"/>
    <w:rsid w:val="00CE141B"/>
    <w:rsid w:val="00CE152B"/>
    <w:rsid w:val="00CE19E4"/>
    <w:rsid w:val="00CE1A3E"/>
    <w:rsid w:val="00CE1B3D"/>
    <w:rsid w:val="00CE1E34"/>
    <w:rsid w:val="00CE20FF"/>
    <w:rsid w:val="00CE22FF"/>
    <w:rsid w:val="00CE26E3"/>
    <w:rsid w:val="00CE3524"/>
    <w:rsid w:val="00CE36FA"/>
    <w:rsid w:val="00CE38C6"/>
    <w:rsid w:val="00CE3988"/>
    <w:rsid w:val="00CE3F49"/>
    <w:rsid w:val="00CE3F75"/>
    <w:rsid w:val="00CE4011"/>
    <w:rsid w:val="00CE41AC"/>
    <w:rsid w:val="00CE4D3B"/>
    <w:rsid w:val="00CE4DB2"/>
    <w:rsid w:val="00CE52EE"/>
    <w:rsid w:val="00CE629C"/>
    <w:rsid w:val="00CE64F8"/>
    <w:rsid w:val="00CE67F8"/>
    <w:rsid w:val="00CE6EA1"/>
    <w:rsid w:val="00CE7A49"/>
    <w:rsid w:val="00CE7C1F"/>
    <w:rsid w:val="00CE7C4D"/>
    <w:rsid w:val="00CF05A7"/>
    <w:rsid w:val="00CF0DD4"/>
    <w:rsid w:val="00CF0E25"/>
    <w:rsid w:val="00CF0EE8"/>
    <w:rsid w:val="00CF113D"/>
    <w:rsid w:val="00CF17E0"/>
    <w:rsid w:val="00CF17FB"/>
    <w:rsid w:val="00CF2337"/>
    <w:rsid w:val="00CF24A6"/>
    <w:rsid w:val="00CF27E6"/>
    <w:rsid w:val="00CF2A64"/>
    <w:rsid w:val="00CF2C8E"/>
    <w:rsid w:val="00CF2DE8"/>
    <w:rsid w:val="00CF35D5"/>
    <w:rsid w:val="00CF3667"/>
    <w:rsid w:val="00CF3EB6"/>
    <w:rsid w:val="00CF4089"/>
    <w:rsid w:val="00CF4B55"/>
    <w:rsid w:val="00CF4D4B"/>
    <w:rsid w:val="00CF51AB"/>
    <w:rsid w:val="00CF5465"/>
    <w:rsid w:val="00CF5665"/>
    <w:rsid w:val="00CF59BB"/>
    <w:rsid w:val="00CF67C9"/>
    <w:rsid w:val="00CF6EEC"/>
    <w:rsid w:val="00CF6F83"/>
    <w:rsid w:val="00CF7486"/>
    <w:rsid w:val="00CF75FF"/>
    <w:rsid w:val="00CF77F4"/>
    <w:rsid w:val="00CF782A"/>
    <w:rsid w:val="00CF78A1"/>
    <w:rsid w:val="00CF7FA4"/>
    <w:rsid w:val="00D00BA5"/>
    <w:rsid w:val="00D01D05"/>
    <w:rsid w:val="00D0209C"/>
    <w:rsid w:val="00D0259A"/>
    <w:rsid w:val="00D027A8"/>
    <w:rsid w:val="00D03232"/>
    <w:rsid w:val="00D033E2"/>
    <w:rsid w:val="00D03529"/>
    <w:rsid w:val="00D0370F"/>
    <w:rsid w:val="00D03731"/>
    <w:rsid w:val="00D04267"/>
    <w:rsid w:val="00D04D06"/>
    <w:rsid w:val="00D0527F"/>
    <w:rsid w:val="00D0542D"/>
    <w:rsid w:val="00D0546D"/>
    <w:rsid w:val="00D0641F"/>
    <w:rsid w:val="00D06752"/>
    <w:rsid w:val="00D070E5"/>
    <w:rsid w:val="00D07B0A"/>
    <w:rsid w:val="00D07E38"/>
    <w:rsid w:val="00D107CD"/>
    <w:rsid w:val="00D10819"/>
    <w:rsid w:val="00D109EA"/>
    <w:rsid w:val="00D10A58"/>
    <w:rsid w:val="00D10A80"/>
    <w:rsid w:val="00D11029"/>
    <w:rsid w:val="00D11249"/>
    <w:rsid w:val="00D115C3"/>
    <w:rsid w:val="00D11A90"/>
    <w:rsid w:val="00D11B56"/>
    <w:rsid w:val="00D12339"/>
    <w:rsid w:val="00D12663"/>
    <w:rsid w:val="00D12A7C"/>
    <w:rsid w:val="00D130AE"/>
    <w:rsid w:val="00D132BD"/>
    <w:rsid w:val="00D13948"/>
    <w:rsid w:val="00D14C4D"/>
    <w:rsid w:val="00D14C62"/>
    <w:rsid w:val="00D151CC"/>
    <w:rsid w:val="00D15419"/>
    <w:rsid w:val="00D15545"/>
    <w:rsid w:val="00D156EF"/>
    <w:rsid w:val="00D1576D"/>
    <w:rsid w:val="00D15883"/>
    <w:rsid w:val="00D15890"/>
    <w:rsid w:val="00D1697B"/>
    <w:rsid w:val="00D1728E"/>
    <w:rsid w:val="00D17875"/>
    <w:rsid w:val="00D17F91"/>
    <w:rsid w:val="00D20D72"/>
    <w:rsid w:val="00D21008"/>
    <w:rsid w:val="00D21116"/>
    <w:rsid w:val="00D212C9"/>
    <w:rsid w:val="00D216F9"/>
    <w:rsid w:val="00D21843"/>
    <w:rsid w:val="00D21B99"/>
    <w:rsid w:val="00D22A5B"/>
    <w:rsid w:val="00D232ED"/>
    <w:rsid w:val="00D23E72"/>
    <w:rsid w:val="00D23E95"/>
    <w:rsid w:val="00D24468"/>
    <w:rsid w:val="00D24846"/>
    <w:rsid w:val="00D249EA"/>
    <w:rsid w:val="00D24A30"/>
    <w:rsid w:val="00D25655"/>
    <w:rsid w:val="00D257EF"/>
    <w:rsid w:val="00D25BF5"/>
    <w:rsid w:val="00D2619C"/>
    <w:rsid w:val="00D2655B"/>
    <w:rsid w:val="00D26659"/>
    <w:rsid w:val="00D26F4C"/>
    <w:rsid w:val="00D26F85"/>
    <w:rsid w:val="00D272DA"/>
    <w:rsid w:val="00D27C63"/>
    <w:rsid w:val="00D27D0E"/>
    <w:rsid w:val="00D27D35"/>
    <w:rsid w:val="00D30915"/>
    <w:rsid w:val="00D30A6F"/>
    <w:rsid w:val="00D30C55"/>
    <w:rsid w:val="00D3114B"/>
    <w:rsid w:val="00D31274"/>
    <w:rsid w:val="00D31295"/>
    <w:rsid w:val="00D31319"/>
    <w:rsid w:val="00D3151E"/>
    <w:rsid w:val="00D318A4"/>
    <w:rsid w:val="00D31EA6"/>
    <w:rsid w:val="00D3205F"/>
    <w:rsid w:val="00D32A6B"/>
    <w:rsid w:val="00D32EE7"/>
    <w:rsid w:val="00D33220"/>
    <w:rsid w:val="00D33298"/>
    <w:rsid w:val="00D33344"/>
    <w:rsid w:val="00D33861"/>
    <w:rsid w:val="00D33C5A"/>
    <w:rsid w:val="00D33F1C"/>
    <w:rsid w:val="00D34B94"/>
    <w:rsid w:val="00D34DDA"/>
    <w:rsid w:val="00D34E51"/>
    <w:rsid w:val="00D350EA"/>
    <w:rsid w:val="00D355C5"/>
    <w:rsid w:val="00D35619"/>
    <w:rsid w:val="00D35C22"/>
    <w:rsid w:val="00D3602B"/>
    <w:rsid w:val="00D37480"/>
    <w:rsid w:val="00D3754D"/>
    <w:rsid w:val="00D376F5"/>
    <w:rsid w:val="00D37768"/>
    <w:rsid w:val="00D403D1"/>
    <w:rsid w:val="00D40403"/>
    <w:rsid w:val="00D40D27"/>
    <w:rsid w:val="00D40E3F"/>
    <w:rsid w:val="00D40E87"/>
    <w:rsid w:val="00D40EFF"/>
    <w:rsid w:val="00D40F9B"/>
    <w:rsid w:val="00D41560"/>
    <w:rsid w:val="00D417B7"/>
    <w:rsid w:val="00D418AE"/>
    <w:rsid w:val="00D41AD9"/>
    <w:rsid w:val="00D41D2B"/>
    <w:rsid w:val="00D41DC9"/>
    <w:rsid w:val="00D4241D"/>
    <w:rsid w:val="00D42510"/>
    <w:rsid w:val="00D42795"/>
    <w:rsid w:val="00D42B1D"/>
    <w:rsid w:val="00D42F49"/>
    <w:rsid w:val="00D4316D"/>
    <w:rsid w:val="00D43805"/>
    <w:rsid w:val="00D43F54"/>
    <w:rsid w:val="00D447DD"/>
    <w:rsid w:val="00D449F1"/>
    <w:rsid w:val="00D44E2D"/>
    <w:rsid w:val="00D45330"/>
    <w:rsid w:val="00D4580D"/>
    <w:rsid w:val="00D45912"/>
    <w:rsid w:val="00D45A6D"/>
    <w:rsid w:val="00D461E1"/>
    <w:rsid w:val="00D46602"/>
    <w:rsid w:val="00D4690E"/>
    <w:rsid w:val="00D46CC4"/>
    <w:rsid w:val="00D46F61"/>
    <w:rsid w:val="00D46FF8"/>
    <w:rsid w:val="00D47BDF"/>
    <w:rsid w:val="00D47F6E"/>
    <w:rsid w:val="00D50582"/>
    <w:rsid w:val="00D5091C"/>
    <w:rsid w:val="00D50961"/>
    <w:rsid w:val="00D51237"/>
    <w:rsid w:val="00D514BF"/>
    <w:rsid w:val="00D516AC"/>
    <w:rsid w:val="00D51A44"/>
    <w:rsid w:val="00D51C4F"/>
    <w:rsid w:val="00D51D5C"/>
    <w:rsid w:val="00D51E80"/>
    <w:rsid w:val="00D52429"/>
    <w:rsid w:val="00D52F1C"/>
    <w:rsid w:val="00D5321D"/>
    <w:rsid w:val="00D5325A"/>
    <w:rsid w:val="00D546E0"/>
    <w:rsid w:val="00D54D15"/>
    <w:rsid w:val="00D558F6"/>
    <w:rsid w:val="00D562C9"/>
    <w:rsid w:val="00D5631A"/>
    <w:rsid w:val="00D56329"/>
    <w:rsid w:val="00D564C3"/>
    <w:rsid w:val="00D56664"/>
    <w:rsid w:val="00D566C5"/>
    <w:rsid w:val="00D566CF"/>
    <w:rsid w:val="00D567B9"/>
    <w:rsid w:val="00D56942"/>
    <w:rsid w:val="00D57171"/>
    <w:rsid w:val="00D57F92"/>
    <w:rsid w:val="00D602F2"/>
    <w:rsid w:val="00D60396"/>
    <w:rsid w:val="00D6039B"/>
    <w:rsid w:val="00D60ABC"/>
    <w:rsid w:val="00D60D51"/>
    <w:rsid w:val="00D61289"/>
    <w:rsid w:val="00D618DA"/>
    <w:rsid w:val="00D61EA0"/>
    <w:rsid w:val="00D61FB2"/>
    <w:rsid w:val="00D62027"/>
    <w:rsid w:val="00D620C5"/>
    <w:rsid w:val="00D6215C"/>
    <w:rsid w:val="00D62988"/>
    <w:rsid w:val="00D62A80"/>
    <w:rsid w:val="00D62DF0"/>
    <w:rsid w:val="00D62FD5"/>
    <w:rsid w:val="00D632B5"/>
    <w:rsid w:val="00D63326"/>
    <w:rsid w:val="00D63585"/>
    <w:rsid w:val="00D63799"/>
    <w:rsid w:val="00D64974"/>
    <w:rsid w:val="00D65154"/>
    <w:rsid w:val="00D652A6"/>
    <w:rsid w:val="00D6532E"/>
    <w:rsid w:val="00D655ED"/>
    <w:rsid w:val="00D65CAF"/>
    <w:rsid w:val="00D6643F"/>
    <w:rsid w:val="00D6648F"/>
    <w:rsid w:val="00D66A0A"/>
    <w:rsid w:val="00D66BE9"/>
    <w:rsid w:val="00D671D6"/>
    <w:rsid w:val="00D67209"/>
    <w:rsid w:val="00D67338"/>
    <w:rsid w:val="00D67342"/>
    <w:rsid w:val="00D67587"/>
    <w:rsid w:val="00D678FB"/>
    <w:rsid w:val="00D678FE"/>
    <w:rsid w:val="00D7040E"/>
    <w:rsid w:val="00D709C0"/>
    <w:rsid w:val="00D70D3C"/>
    <w:rsid w:val="00D710C4"/>
    <w:rsid w:val="00D714FD"/>
    <w:rsid w:val="00D71EEA"/>
    <w:rsid w:val="00D72461"/>
    <w:rsid w:val="00D727C8"/>
    <w:rsid w:val="00D72B6D"/>
    <w:rsid w:val="00D72CDF"/>
    <w:rsid w:val="00D73BDD"/>
    <w:rsid w:val="00D73DD7"/>
    <w:rsid w:val="00D746D6"/>
    <w:rsid w:val="00D748F3"/>
    <w:rsid w:val="00D74E40"/>
    <w:rsid w:val="00D74F37"/>
    <w:rsid w:val="00D7503F"/>
    <w:rsid w:val="00D75EDE"/>
    <w:rsid w:val="00D7622D"/>
    <w:rsid w:val="00D76482"/>
    <w:rsid w:val="00D7649F"/>
    <w:rsid w:val="00D76C0B"/>
    <w:rsid w:val="00D77ACD"/>
    <w:rsid w:val="00D77D4C"/>
    <w:rsid w:val="00D77E5C"/>
    <w:rsid w:val="00D80336"/>
    <w:rsid w:val="00D80733"/>
    <w:rsid w:val="00D807F3"/>
    <w:rsid w:val="00D80833"/>
    <w:rsid w:val="00D80909"/>
    <w:rsid w:val="00D80BE9"/>
    <w:rsid w:val="00D80E67"/>
    <w:rsid w:val="00D812AA"/>
    <w:rsid w:val="00D819C7"/>
    <w:rsid w:val="00D81A3B"/>
    <w:rsid w:val="00D81F3C"/>
    <w:rsid w:val="00D81F43"/>
    <w:rsid w:val="00D81FF4"/>
    <w:rsid w:val="00D8243F"/>
    <w:rsid w:val="00D82736"/>
    <w:rsid w:val="00D82CC1"/>
    <w:rsid w:val="00D82DD3"/>
    <w:rsid w:val="00D8305E"/>
    <w:rsid w:val="00D830F9"/>
    <w:rsid w:val="00D83591"/>
    <w:rsid w:val="00D83995"/>
    <w:rsid w:val="00D83A60"/>
    <w:rsid w:val="00D85124"/>
    <w:rsid w:val="00D85A8F"/>
    <w:rsid w:val="00D85B48"/>
    <w:rsid w:val="00D86384"/>
    <w:rsid w:val="00D8641A"/>
    <w:rsid w:val="00D86495"/>
    <w:rsid w:val="00D86762"/>
    <w:rsid w:val="00D86A7A"/>
    <w:rsid w:val="00D874D6"/>
    <w:rsid w:val="00D87758"/>
    <w:rsid w:val="00D87A47"/>
    <w:rsid w:val="00D900E7"/>
    <w:rsid w:val="00D903DD"/>
    <w:rsid w:val="00D90B90"/>
    <w:rsid w:val="00D90D94"/>
    <w:rsid w:val="00D911D7"/>
    <w:rsid w:val="00D91298"/>
    <w:rsid w:val="00D91553"/>
    <w:rsid w:val="00D921CA"/>
    <w:rsid w:val="00D92293"/>
    <w:rsid w:val="00D92392"/>
    <w:rsid w:val="00D92F47"/>
    <w:rsid w:val="00D92F8E"/>
    <w:rsid w:val="00D9361C"/>
    <w:rsid w:val="00D93B8D"/>
    <w:rsid w:val="00D942FD"/>
    <w:rsid w:val="00D95023"/>
    <w:rsid w:val="00D9549E"/>
    <w:rsid w:val="00D95976"/>
    <w:rsid w:val="00D95DD8"/>
    <w:rsid w:val="00D96033"/>
    <w:rsid w:val="00D96266"/>
    <w:rsid w:val="00D963E0"/>
    <w:rsid w:val="00D964D4"/>
    <w:rsid w:val="00D967C4"/>
    <w:rsid w:val="00D96D3F"/>
    <w:rsid w:val="00D97238"/>
    <w:rsid w:val="00D9744D"/>
    <w:rsid w:val="00D97534"/>
    <w:rsid w:val="00D97952"/>
    <w:rsid w:val="00D97D7B"/>
    <w:rsid w:val="00D97EFE"/>
    <w:rsid w:val="00D97F0A"/>
    <w:rsid w:val="00DA0173"/>
    <w:rsid w:val="00DA03E4"/>
    <w:rsid w:val="00DA0655"/>
    <w:rsid w:val="00DA0788"/>
    <w:rsid w:val="00DA0A42"/>
    <w:rsid w:val="00DA0A71"/>
    <w:rsid w:val="00DA12DA"/>
    <w:rsid w:val="00DA13B4"/>
    <w:rsid w:val="00DA1763"/>
    <w:rsid w:val="00DA1B4B"/>
    <w:rsid w:val="00DA1B6E"/>
    <w:rsid w:val="00DA2324"/>
    <w:rsid w:val="00DA25F1"/>
    <w:rsid w:val="00DA26B1"/>
    <w:rsid w:val="00DA2FAE"/>
    <w:rsid w:val="00DA3140"/>
    <w:rsid w:val="00DA3187"/>
    <w:rsid w:val="00DA33E4"/>
    <w:rsid w:val="00DA3900"/>
    <w:rsid w:val="00DA41D4"/>
    <w:rsid w:val="00DA420F"/>
    <w:rsid w:val="00DA4DD7"/>
    <w:rsid w:val="00DA537B"/>
    <w:rsid w:val="00DA5443"/>
    <w:rsid w:val="00DA550B"/>
    <w:rsid w:val="00DA6557"/>
    <w:rsid w:val="00DA65C6"/>
    <w:rsid w:val="00DA666E"/>
    <w:rsid w:val="00DA6EA5"/>
    <w:rsid w:val="00DA7185"/>
    <w:rsid w:val="00DA7355"/>
    <w:rsid w:val="00DA7A51"/>
    <w:rsid w:val="00DA7CF8"/>
    <w:rsid w:val="00DB0579"/>
    <w:rsid w:val="00DB0612"/>
    <w:rsid w:val="00DB0643"/>
    <w:rsid w:val="00DB08AB"/>
    <w:rsid w:val="00DB09F4"/>
    <w:rsid w:val="00DB0BC0"/>
    <w:rsid w:val="00DB0C7E"/>
    <w:rsid w:val="00DB0F11"/>
    <w:rsid w:val="00DB177C"/>
    <w:rsid w:val="00DB191D"/>
    <w:rsid w:val="00DB1B73"/>
    <w:rsid w:val="00DB2CD4"/>
    <w:rsid w:val="00DB2D0E"/>
    <w:rsid w:val="00DB2F11"/>
    <w:rsid w:val="00DB3040"/>
    <w:rsid w:val="00DB30B4"/>
    <w:rsid w:val="00DB3520"/>
    <w:rsid w:val="00DB4135"/>
    <w:rsid w:val="00DB4281"/>
    <w:rsid w:val="00DB4CA6"/>
    <w:rsid w:val="00DB4EF1"/>
    <w:rsid w:val="00DB5707"/>
    <w:rsid w:val="00DB5BF6"/>
    <w:rsid w:val="00DB62EA"/>
    <w:rsid w:val="00DB643F"/>
    <w:rsid w:val="00DB654B"/>
    <w:rsid w:val="00DB6A37"/>
    <w:rsid w:val="00DB6BA4"/>
    <w:rsid w:val="00DB6D74"/>
    <w:rsid w:val="00DB6E1A"/>
    <w:rsid w:val="00DB722D"/>
    <w:rsid w:val="00DB774F"/>
    <w:rsid w:val="00DB7962"/>
    <w:rsid w:val="00DB7A05"/>
    <w:rsid w:val="00DC05A8"/>
    <w:rsid w:val="00DC0917"/>
    <w:rsid w:val="00DC0C84"/>
    <w:rsid w:val="00DC0D8A"/>
    <w:rsid w:val="00DC0EAD"/>
    <w:rsid w:val="00DC14ED"/>
    <w:rsid w:val="00DC1554"/>
    <w:rsid w:val="00DC185B"/>
    <w:rsid w:val="00DC189B"/>
    <w:rsid w:val="00DC1F2B"/>
    <w:rsid w:val="00DC2664"/>
    <w:rsid w:val="00DC2A5D"/>
    <w:rsid w:val="00DC31AF"/>
    <w:rsid w:val="00DC32C5"/>
    <w:rsid w:val="00DC330E"/>
    <w:rsid w:val="00DC35B7"/>
    <w:rsid w:val="00DC37F0"/>
    <w:rsid w:val="00DC3955"/>
    <w:rsid w:val="00DC398C"/>
    <w:rsid w:val="00DC3ED5"/>
    <w:rsid w:val="00DC3EEA"/>
    <w:rsid w:val="00DC40EC"/>
    <w:rsid w:val="00DC44A0"/>
    <w:rsid w:val="00DC45BF"/>
    <w:rsid w:val="00DC4924"/>
    <w:rsid w:val="00DC4CDF"/>
    <w:rsid w:val="00DC50CF"/>
    <w:rsid w:val="00DC526C"/>
    <w:rsid w:val="00DC5750"/>
    <w:rsid w:val="00DC6003"/>
    <w:rsid w:val="00DC63B1"/>
    <w:rsid w:val="00DC6522"/>
    <w:rsid w:val="00DC6D78"/>
    <w:rsid w:val="00DC701C"/>
    <w:rsid w:val="00DC72F0"/>
    <w:rsid w:val="00DC75CA"/>
    <w:rsid w:val="00DC7CC2"/>
    <w:rsid w:val="00DD037D"/>
    <w:rsid w:val="00DD059C"/>
    <w:rsid w:val="00DD08C1"/>
    <w:rsid w:val="00DD09E2"/>
    <w:rsid w:val="00DD1184"/>
    <w:rsid w:val="00DD1797"/>
    <w:rsid w:val="00DD1934"/>
    <w:rsid w:val="00DD1B83"/>
    <w:rsid w:val="00DD1BD9"/>
    <w:rsid w:val="00DD1F67"/>
    <w:rsid w:val="00DD2102"/>
    <w:rsid w:val="00DD24FA"/>
    <w:rsid w:val="00DD2921"/>
    <w:rsid w:val="00DD2AE6"/>
    <w:rsid w:val="00DD2FB1"/>
    <w:rsid w:val="00DD34F3"/>
    <w:rsid w:val="00DD351E"/>
    <w:rsid w:val="00DD3BEE"/>
    <w:rsid w:val="00DD401F"/>
    <w:rsid w:val="00DD40A1"/>
    <w:rsid w:val="00DD4162"/>
    <w:rsid w:val="00DD4403"/>
    <w:rsid w:val="00DD46C1"/>
    <w:rsid w:val="00DD472C"/>
    <w:rsid w:val="00DD4850"/>
    <w:rsid w:val="00DD4A49"/>
    <w:rsid w:val="00DD4BBC"/>
    <w:rsid w:val="00DD5258"/>
    <w:rsid w:val="00DD548B"/>
    <w:rsid w:val="00DD6D8D"/>
    <w:rsid w:val="00DD6F76"/>
    <w:rsid w:val="00DD7836"/>
    <w:rsid w:val="00DD7FDA"/>
    <w:rsid w:val="00DE0029"/>
    <w:rsid w:val="00DE09B9"/>
    <w:rsid w:val="00DE0E97"/>
    <w:rsid w:val="00DE0FD5"/>
    <w:rsid w:val="00DE1863"/>
    <w:rsid w:val="00DE1C3F"/>
    <w:rsid w:val="00DE1DA4"/>
    <w:rsid w:val="00DE1DD1"/>
    <w:rsid w:val="00DE26A0"/>
    <w:rsid w:val="00DE29A2"/>
    <w:rsid w:val="00DE2C99"/>
    <w:rsid w:val="00DE3831"/>
    <w:rsid w:val="00DE3B7F"/>
    <w:rsid w:val="00DE3D73"/>
    <w:rsid w:val="00DE3DC9"/>
    <w:rsid w:val="00DE3EA0"/>
    <w:rsid w:val="00DE40B9"/>
    <w:rsid w:val="00DE414C"/>
    <w:rsid w:val="00DE4200"/>
    <w:rsid w:val="00DE46AF"/>
    <w:rsid w:val="00DE4A4F"/>
    <w:rsid w:val="00DE4CB2"/>
    <w:rsid w:val="00DE51A5"/>
    <w:rsid w:val="00DE53B0"/>
    <w:rsid w:val="00DE53D3"/>
    <w:rsid w:val="00DE55B6"/>
    <w:rsid w:val="00DE5903"/>
    <w:rsid w:val="00DE5C1E"/>
    <w:rsid w:val="00DE5EDB"/>
    <w:rsid w:val="00DE610D"/>
    <w:rsid w:val="00DE6369"/>
    <w:rsid w:val="00DE660C"/>
    <w:rsid w:val="00DE6ACF"/>
    <w:rsid w:val="00DE7094"/>
    <w:rsid w:val="00DE73E9"/>
    <w:rsid w:val="00DE759D"/>
    <w:rsid w:val="00DE783E"/>
    <w:rsid w:val="00DE7CBC"/>
    <w:rsid w:val="00DE7E05"/>
    <w:rsid w:val="00DF03C5"/>
    <w:rsid w:val="00DF047F"/>
    <w:rsid w:val="00DF06DF"/>
    <w:rsid w:val="00DF0746"/>
    <w:rsid w:val="00DF090E"/>
    <w:rsid w:val="00DF0DFF"/>
    <w:rsid w:val="00DF0E2F"/>
    <w:rsid w:val="00DF0F2D"/>
    <w:rsid w:val="00DF14FD"/>
    <w:rsid w:val="00DF150C"/>
    <w:rsid w:val="00DF15D1"/>
    <w:rsid w:val="00DF1FE8"/>
    <w:rsid w:val="00DF2900"/>
    <w:rsid w:val="00DF2A6B"/>
    <w:rsid w:val="00DF2A7E"/>
    <w:rsid w:val="00DF345F"/>
    <w:rsid w:val="00DF3BE1"/>
    <w:rsid w:val="00DF3E80"/>
    <w:rsid w:val="00DF43D2"/>
    <w:rsid w:val="00DF44B9"/>
    <w:rsid w:val="00DF45CA"/>
    <w:rsid w:val="00DF4B42"/>
    <w:rsid w:val="00DF4B81"/>
    <w:rsid w:val="00DF5260"/>
    <w:rsid w:val="00DF52F5"/>
    <w:rsid w:val="00DF5486"/>
    <w:rsid w:val="00DF55A5"/>
    <w:rsid w:val="00DF55D8"/>
    <w:rsid w:val="00DF56CE"/>
    <w:rsid w:val="00DF5A43"/>
    <w:rsid w:val="00DF5D97"/>
    <w:rsid w:val="00DF617D"/>
    <w:rsid w:val="00DF6260"/>
    <w:rsid w:val="00DF62C0"/>
    <w:rsid w:val="00DF62FD"/>
    <w:rsid w:val="00DF6339"/>
    <w:rsid w:val="00DF6793"/>
    <w:rsid w:val="00DF6BD8"/>
    <w:rsid w:val="00DF6BE6"/>
    <w:rsid w:val="00DF6C29"/>
    <w:rsid w:val="00DF6E8F"/>
    <w:rsid w:val="00DF6F5F"/>
    <w:rsid w:val="00DF71A6"/>
    <w:rsid w:val="00DF71AF"/>
    <w:rsid w:val="00DF733B"/>
    <w:rsid w:val="00DF74F6"/>
    <w:rsid w:val="00DF754F"/>
    <w:rsid w:val="00DF7934"/>
    <w:rsid w:val="00DF79A8"/>
    <w:rsid w:val="00DF7ABD"/>
    <w:rsid w:val="00DF7BBD"/>
    <w:rsid w:val="00DF7FCD"/>
    <w:rsid w:val="00E0009C"/>
    <w:rsid w:val="00E005D2"/>
    <w:rsid w:val="00E00A64"/>
    <w:rsid w:val="00E023E6"/>
    <w:rsid w:val="00E02659"/>
    <w:rsid w:val="00E026F2"/>
    <w:rsid w:val="00E0273E"/>
    <w:rsid w:val="00E02A85"/>
    <w:rsid w:val="00E02FEC"/>
    <w:rsid w:val="00E0312E"/>
    <w:rsid w:val="00E034B9"/>
    <w:rsid w:val="00E0367E"/>
    <w:rsid w:val="00E04128"/>
    <w:rsid w:val="00E04574"/>
    <w:rsid w:val="00E04A1F"/>
    <w:rsid w:val="00E04FC2"/>
    <w:rsid w:val="00E050FA"/>
    <w:rsid w:val="00E051F4"/>
    <w:rsid w:val="00E052E0"/>
    <w:rsid w:val="00E05646"/>
    <w:rsid w:val="00E05B2A"/>
    <w:rsid w:val="00E05C5D"/>
    <w:rsid w:val="00E0611E"/>
    <w:rsid w:val="00E06376"/>
    <w:rsid w:val="00E0644B"/>
    <w:rsid w:val="00E068C9"/>
    <w:rsid w:val="00E06979"/>
    <w:rsid w:val="00E06CF6"/>
    <w:rsid w:val="00E06FB8"/>
    <w:rsid w:val="00E071DF"/>
    <w:rsid w:val="00E07913"/>
    <w:rsid w:val="00E07B2A"/>
    <w:rsid w:val="00E10595"/>
    <w:rsid w:val="00E10E8E"/>
    <w:rsid w:val="00E113AD"/>
    <w:rsid w:val="00E1145C"/>
    <w:rsid w:val="00E11A9A"/>
    <w:rsid w:val="00E11C57"/>
    <w:rsid w:val="00E11D33"/>
    <w:rsid w:val="00E12E85"/>
    <w:rsid w:val="00E12EBB"/>
    <w:rsid w:val="00E12FDD"/>
    <w:rsid w:val="00E138D4"/>
    <w:rsid w:val="00E13AEF"/>
    <w:rsid w:val="00E13C84"/>
    <w:rsid w:val="00E14640"/>
    <w:rsid w:val="00E14EAE"/>
    <w:rsid w:val="00E15866"/>
    <w:rsid w:val="00E15874"/>
    <w:rsid w:val="00E15FDD"/>
    <w:rsid w:val="00E166DC"/>
    <w:rsid w:val="00E171D4"/>
    <w:rsid w:val="00E17287"/>
    <w:rsid w:val="00E174D3"/>
    <w:rsid w:val="00E17D77"/>
    <w:rsid w:val="00E20EFB"/>
    <w:rsid w:val="00E21242"/>
    <w:rsid w:val="00E218A3"/>
    <w:rsid w:val="00E21923"/>
    <w:rsid w:val="00E223AE"/>
    <w:rsid w:val="00E226AC"/>
    <w:rsid w:val="00E22759"/>
    <w:rsid w:val="00E22E3D"/>
    <w:rsid w:val="00E2348D"/>
    <w:rsid w:val="00E23F3A"/>
    <w:rsid w:val="00E24B43"/>
    <w:rsid w:val="00E257FD"/>
    <w:rsid w:val="00E2582F"/>
    <w:rsid w:val="00E25841"/>
    <w:rsid w:val="00E25912"/>
    <w:rsid w:val="00E25C33"/>
    <w:rsid w:val="00E25C67"/>
    <w:rsid w:val="00E261F0"/>
    <w:rsid w:val="00E262B5"/>
    <w:rsid w:val="00E26601"/>
    <w:rsid w:val="00E26624"/>
    <w:rsid w:val="00E2662E"/>
    <w:rsid w:val="00E26913"/>
    <w:rsid w:val="00E26A45"/>
    <w:rsid w:val="00E26C23"/>
    <w:rsid w:val="00E26CA4"/>
    <w:rsid w:val="00E26DA9"/>
    <w:rsid w:val="00E27409"/>
    <w:rsid w:val="00E27543"/>
    <w:rsid w:val="00E27BBB"/>
    <w:rsid w:val="00E30306"/>
    <w:rsid w:val="00E30710"/>
    <w:rsid w:val="00E30996"/>
    <w:rsid w:val="00E30EAC"/>
    <w:rsid w:val="00E3209B"/>
    <w:rsid w:val="00E32305"/>
    <w:rsid w:val="00E323F8"/>
    <w:rsid w:val="00E323FC"/>
    <w:rsid w:val="00E32534"/>
    <w:rsid w:val="00E32EF2"/>
    <w:rsid w:val="00E33150"/>
    <w:rsid w:val="00E3367B"/>
    <w:rsid w:val="00E336A1"/>
    <w:rsid w:val="00E3399B"/>
    <w:rsid w:val="00E33BBA"/>
    <w:rsid w:val="00E33E52"/>
    <w:rsid w:val="00E33F25"/>
    <w:rsid w:val="00E34716"/>
    <w:rsid w:val="00E34757"/>
    <w:rsid w:val="00E34E01"/>
    <w:rsid w:val="00E34E64"/>
    <w:rsid w:val="00E34F60"/>
    <w:rsid w:val="00E3513E"/>
    <w:rsid w:val="00E3516C"/>
    <w:rsid w:val="00E3573F"/>
    <w:rsid w:val="00E357F0"/>
    <w:rsid w:val="00E36915"/>
    <w:rsid w:val="00E36959"/>
    <w:rsid w:val="00E36A14"/>
    <w:rsid w:val="00E371B1"/>
    <w:rsid w:val="00E37373"/>
    <w:rsid w:val="00E3744A"/>
    <w:rsid w:val="00E37573"/>
    <w:rsid w:val="00E3775F"/>
    <w:rsid w:val="00E37762"/>
    <w:rsid w:val="00E37968"/>
    <w:rsid w:val="00E413E1"/>
    <w:rsid w:val="00E415FE"/>
    <w:rsid w:val="00E41DD7"/>
    <w:rsid w:val="00E422CC"/>
    <w:rsid w:val="00E4341B"/>
    <w:rsid w:val="00E43C90"/>
    <w:rsid w:val="00E443E9"/>
    <w:rsid w:val="00E444BA"/>
    <w:rsid w:val="00E446A4"/>
    <w:rsid w:val="00E44A0B"/>
    <w:rsid w:val="00E45738"/>
    <w:rsid w:val="00E458F0"/>
    <w:rsid w:val="00E45CB2"/>
    <w:rsid w:val="00E45CBD"/>
    <w:rsid w:val="00E464BF"/>
    <w:rsid w:val="00E464D9"/>
    <w:rsid w:val="00E46DB1"/>
    <w:rsid w:val="00E472CB"/>
    <w:rsid w:val="00E477E1"/>
    <w:rsid w:val="00E504B8"/>
    <w:rsid w:val="00E505CC"/>
    <w:rsid w:val="00E508E6"/>
    <w:rsid w:val="00E50AD8"/>
    <w:rsid w:val="00E50B74"/>
    <w:rsid w:val="00E5128E"/>
    <w:rsid w:val="00E51E37"/>
    <w:rsid w:val="00E521AC"/>
    <w:rsid w:val="00E52894"/>
    <w:rsid w:val="00E52990"/>
    <w:rsid w:val="00E53178"/>
    <w:rsid w:val="00E53922"/>
    <w:rsid w:val="00E53F3F"/>
    <w:rsid w:val="00E54094"/>
    <w:rsid w:val="00E542FE"/>
    <w:rsid w:val="00E55082"/>
    <w:rsid w:val="00E55351"/>
    <w:rsid w:val="00E554D0"/>
    <w:rsid w:val="00E55DFD"/>
    <w:rsid w:val="00E5608E"/>
    <w:rsid w:val="00E56665"/>
    <w:rsid w:val="00E5681B"/>
    <w:rsid w:val="00E56843"/>
    <w:rsid w:val="00E56AB1"/>
    <w:rsid w:val="00E56B5B"/>
    <w:rsid w:val="00E56DC7"/>
    <w:rsid w:val="00E56E27"/>
    <w:rsid w:val="00E5749E"/>
    <w:rsid w:val="00E577E1"/>
    <w:rsid w:val="00E578DF"/>
    <w:rsid w:val="00E57A41"/>
    <w:rsid w:val="00E57B0B"/>
    <w:rsid w:val="00E60021"/>
    <w:rsid w:val="00E601CF"/>
    <w:rsid w:val="00E6053D"/>
    <w:rsid w:val="00E6062F"/>
    <w:rsid w:val="00E608E5"/>
    <w:rsid w:val="00E60F49"/>
    <w:rsid w:val="00E612C3"/>
    <w:rsid w:val="00E61C84"/>
    <w:rsid w:val="00E620B2"/>
    <w:rsid w:val="00E622A6"/>
    <w:rsid w:val="00E623D7"/>
    <w:rsid w:val="00E62B49"/>
    <w:rsid w:val="00E62BB8"/>
    <w:rsid w:val="00E62D01"/>
    <w:rsid w:val="00E63223"/>
    <w:rsid w:val="00E63408"/>
    <w:rsid w:val="00E63A50"/>
    <w:rsid w:val="00E63A99"/>
    <w:rsid w:val="00E64845"/>
    <w:rsid w:val="00E6597B"/>
    <w:rsid w:val="00E65C81"/>
    <w:rsid w:val="00E65ED0"/>
    <w:rsid w:val="00E66557"/>
    <w:rsid w:val="00E666F2"/>
    <w:rsid w:val="00E66851"/>
    <w:rsid w:val="00E66A3A"/>
    <w:rsid w:val="00E66AB2"/>
    <w:rsid w:val="00E66DFC"/>
    <w:rsid w:val="00E66F57"/>
    <w:rsid w:val="00E673A7"/>
    <w:rsid w:val="00E674B9"/>
    <w:rsid w:val="00E67FD8"/>
    <w:rsid w:val="00E7008B"/>
    <w:rsid w:val="00E70192"/>
    <w:rsid w:val="00E70895"/>
    <w:rsid w:val="00E708CA"/>
    <w:rsid w:val="00E708DB"/>
    <w:rsid w:val="00E71145"/>
    <w:rsid w:val="00E71394"/>
    <w:rsid w:val="00E714C1"/>
    <w:rsid w:val="00E715A3"/>
    <w:rsid w:val="00E71752"/>
    <w:rsid w:val="00E71BCA"/>
    <w:rsid w:val="00E71CBF"/>
    <w:rsid w:val="00E723B3"/>
    <w:rsid w:val="00E73057"/>
    <w:rsid w:val="00E732D9"/>
    <w:rsid w:val="00E73352"/>
    <w:rsid w:val="00E73AF2"/>
    <w:rsid w:val="00E73F31"/>
    <w:rsid w:val="00E741D9"/>
    <w:rsid w:val="00E743ED"/>
    <w:rsid w:val="00E74832"/>
    <w:rsid w:val="00E74ABF"/>
    <w:rsid w:val="00E74EBE"/>
    <w:rsid w:val="00E74ED4"/>
    <w:rsid w:val="00E75036"/>
    <w:rsid w:val="00E75188"/>
    <w:rsid w:val="00E7527A"/>
    <w:rsid w:val="00E75841"/>
    <w:rsid w:val="00E7584E"/>
    <w:rsid w:val="00E7674C"/>
    <w:rsid w:val="00E76C52"/>
    <w:rsid w:val="00E76D6D"/>
    <w:rsid w:val="00E77208"/>
    <w:rsid w:val="00E7763D"/>
    <w:rsid w:val="00E7765D"/>
    <w:rsid w:val="00E77742"/>
    <w:rsid w:val="00E7784A"/>
    <w:rsid w:val="00E7794C"/>
    <w:rsid w:val="00E77CB0"/>
    <w:rsid w:val="00E77E33"/>
    <w:rsid w:val="00E801A3"/>
    <w:rsid w:val="00E807CA"/>
    <w:rsid w:val="00E80AB9"/>
    <w:rsid w:val="00E816B3"/>
    <w:rsid w:val="00E81A17"/>
    <w:rsid w:val="00E81BEB"/>
    <w:rsid w:val="00E82130"/>
    <w:rsid w:val="00E82DAB"/>
    <w:rsid w:val="00E83279"/>
    <w:rsid w:val="00E83315"/>
    <w:rsid w:val="00E83346"/>
    <w:rsid w:val="00E835A2"/>
    <w:rsid w:val="00E83786"/>
    <w:rsid w:val="00E83A76"/>
    <w:rsid w:val="00E83E7B"/>
    <w:rsid w:val="00E84104"/>
    <w:rsid w:val="00E84728"/>
    <w:rsid w:val="00E848D5"/>
    <w:rsid w:val="00E849CD"/>
    <w:rsid w:val="00E84AD3"/>
    <w:rsid w:val="00E84B83"/>
    <w:rsid w:val="00E84F5C"/>
    <w:rsid w:val="00E8500C"/>
    <w:rsid w:val="00E85A01"/>
    <w:rsid w:val="00E85B04"/>
    <w:rsid w:val="00E86305"/>
    <w:rsid w:val="00E86F63"/>
    <w:rsid w:val="00E87521"/>
    <w:rsid w:val="00E87581"/>
    <w:rsid w:val="00E875D5"/>
    <w:rsid w:val="00E875F3"/>
    <w:rsid w:val="00E87643"/>
    <w:rsid w:val="00E9084B"/>
    <w:rsid w:val="00E90E6E"/>
    <w:rsid w:val="00E915D1"/>
    <w:rsid w:val="00E91943"/>
    <w:rsid w:val="00E91AE4"/>
    <w:rsid w:val="00E91C44"/>
    <w:rsid w:val="00E92330"/>
    <w:rsid w:val="00E9266F"/>
    <w:rsid w:val="00E9271F"/>
    <w:rsid w:val="00E92988"/>
    <w:rsid w:val="00E92F07"/>
    <w:rsid w:val="00E9315B"/>
    <w:rsid w:val="00E939A1"/>
    <w:rsid w:val="00E94861"/>
    <w:rsid w:val="00E949D1"/>
    <w:rsid w:val="00E94EE5"/>
    <w:rsid w:val="00E94F20"/>
    <w:rsid w:val="00E94F7A"/>
    <w:rsid w:val="00E951A6"/>
    <w:rsid w:val="00E95304"/>
    <w:rsid w:val="00E956EB"/>
    <w:rsid w:val="00E958D7"/>
    <w:rsid w:val="00E96060"/>
    <w:rsid w:val="00E9629C"/>
    <w:rsid w:val="00E9664D"/>
    <w:rsid w:val="00E96715"/>
    <w:rsid w:val="00E967FF"/>
    <w:rsid w:val="00E96F11"/>
    <w:rsid w:val="00E970AF"/>
    <w:rsid w:val="00E97A71"/>
    <w:rsid w:val="00E97AD1"/>
    <w:rsid w:val="00E97B67"/>
    <w:rsid w:val="00E97C8F"/>
    <w:rsid w:val="00E97D9B"/>
    <w:rsid w:val="00EA0107"/>
    <w:rsid w:val="00EA096C"/>
    <w:rsid w:val="00EA0AD0"/>
    <w:rsid w:val="00EA0D51"/>
    <w:rsid w:val="00EA16AF"/>
    <w:rsid w:val="00EA1AEE"/>
    <w:rsid w:val="00EA1BC1"/>
    <w:rsid w:val="00EA2164"/>
    <w:rsid w:val="00EA241C"/>
    <w:rsid w:val="00EA2BAB"/>
    <w:rsid w:val="00EA2D98"/>
    <w:rsid w:val="00EA2E4A"/>
    <w:rsid w:val="00EA2E8A"/>
    <w:rsid w:val="00EA2EBB"/>
    <w:rsid w:val="00EA2FAC"/>
    <w:rsid w:val="00EA3321"/>
    <w:rsid w:val="00EA347B"/>
    <w:rsid w:val="00EA3C9B"/>
    <w:rsid w:val="00EA478A"/>
    <w:rsid w:val="00EA4BCF"/>
    <w:rsid w:val="00EA4BE4"/>
    <w:rsid w:val="00EA4F16"/>
    <w:rsid w:val="00EA5035"/>
    <w:rsid w:val="00EA54AD"/>
    <w:rsid w:val="00EA55EF"/>
    <w:rsid w:val="00EA5712"/>
    <w:rsid w:val="00EA5BE0"/>
    <w:rsid w:val="00EA5D72"/>
    <w:rsid w:val="00EA616C"/>
    <w:rsid w:val="00EA62D6"/>
    <w:rsid w:val="00EA66AC"/>
    <w:rsid w:val="00EA7071"/>
    <w:rsid w:val="00EA74C3"/>
    <w:rsid w:val="00EA75A4"/>
    <w:rsid w:val="00EA788C"/>
    <w:rsid w:val="00EA7995"/>
    <w:rsid w:val="00EB033D"/>
    <w:rsid w:val="00EB0500"/>
    <w:rsid w:val="00EB077E"/>
    <w:rsid w:val="00EB0EC9"/>
    <w:rsid w:val="00EB123D"/>
    <w:rsid w:val="00EB123F"/>
    <w:rsid w:val="00EB129F"/>
    <w:rsid w:val="00EB13E0"/>
    <w:rsid w:val="00EB142D"/>
    <w:rsid w:val="00EB1692"/>
    <w:rsid w:val="00EB1E05"/>
    <w:rsid w:val="00EB1FD1"/>
    <w:rsid w:val="00EB203E"/>
    <w:rsid w:val="00EB21D8"/>
    <w:rsid w:val="00EB2280"/>
    <w:rsid w:val="00EB2632"/>
    <w:rsid w:val="00EB2667"/>
    <w:rsid w:val="00EB26F8"/>
    <w:rsid w:val="00EB2C39"/>
    <w:rsid w:val="00EB2D35"/>
    <w:rsid w:val="00EB2D84"/>
    <w:rsid w:val="00EB3296"/>
    <w:rsid w:val="00EB33CD"/>
    <w:rsid w:val="00EB34EC"/>
    <w:rsid w:val="00EB3793"/>
    <w:rsid w:val="00EB3F6B"/>
    <w:rsid w:val="00EB417A"/>
    <w:rsid w:val="00EB4559"/>
    <w:rsid w:val="00EB49E3"/>
    <w:rsid w:val="00EB4B25"/>
    <w:rsid w:val="00EB4D7E"/>
    <w:rsid w:val="00EB5395"/>
    <w:rsid w:val="00EB5735"/>
    <w:rsid w:val="00EB5E8D"/>
    <w:rsid w:val="00EB6013"/>
    <w:rsid w:val="00EB6405"/>
    <w:rsid w:val="00EB65F9"/>
    <w:rsid w:val="00EB67DF"/>
    <w:rsid w:val="00EB6A8E"/>
    <w:rsid w:val="00EB6D47"/>
    <w:rsid w:val="00EB6F21"/>
    <w:rsid w:val="00EB7C58"/>
    <w:rsid w:val="00EC006F"/>
    <w:rsid w:val="00EC0100"/>
    <w:rsid w:val="00EC0286"/>
    <w:rsid w:val="00EC061E"/>
    <w:rsid w:val="00EC098B"/>
    <w:rsid w:val="00EC0B5B"/>
    <w:rsid w:val="00EC0C00"/>
    <w:rsid w:val="00EC1414"/>
    <w:rsid w:val="00EC173C"/>
    <w:rsid w:val="00EC1985"/>
    <w:rsid w:val="00EC1D94"/>
    <w:rsid w:val="00EC2349"/>
    <w:rsid w:val="00EC2512"/>
    <w:rsid w:val="00EC253F"/>
    <w:rsid w:val="00EC25C8"/>
    <w:rsid w:val="00EC26EC"/>
    <w:rsid w:val="00EC2BA9"/>
    <w:rsid w:val="00EC30E0"/>
    <w:rsid w:val="00EC32F7"/>
    <w:rsid w:val="00EC3973"/>
    <w:rsid w:val="00EC3B6A"/>
    <w:rsid w:val="00EC4209"/>
    <w:rsid w:val="00EC43F1"/>
    <w:rsid w:val="00EC4508"/>
    <w:rsid w:val="00EC46DB"/>
    <w:rsid w:val="00EC4EC8"/>
    <w:rsid w:val="00EC4F6D"/>
    <w:rsid w:val="00EC50F4"/>
    <w:rsid w:val="00EC5BD8"/>
    <w:rsid w:val="00EC5CAF"/>
    <w:rsid w:val="00EC5DE7"/>
    <w:rsid w:val="00EC5FFF"/>
    <w:rsid w:val="00EC6176"/>
    <w:rsid w:val="00EC6272"/>
    <w:rsid w:val="00EC632C"/>
    <w:rsid w:val="00EC64F3"/>
    <w:rsid w:val="00EC664E"/>
    <w:rsid w:val="00EC66F6"/>
    <w:rsid w:val="00EC67D0"/>
    <w:rsid w:val="00EC6809"/>
    <w:rsid w:val="00EC6C9E"/>
    <w:rsid w:val="00EC6CFB"/>
    <w:rsid w:val="00EC71FF"/>
    <w:rsid w:val="00EC736B"/>
    <w:rsid w:val="00EC751F"/>
    <w:rsid w:val="00EC75BB"/>
    <w:rsid w:val="00EC7955"/>
    <w:rsid w:val="00ED067F"/>
    <w:rsid w:val="00ED0B19"/>
    <w:rsid w:val="00ED0F80"/>
    <w:rsid w:val="00ED0FDD"/>
    <w:rsid w:val="00ED124F"/>
    <w:rsid w:val="00ED1930"/>
    <w:rsid w:val="00ED25CA"/>
    <w:rsid w:val="00ED26D1"/>
    <w:rsid w:val="00ED2811"/>
    <w:rsid w:val="00ED305C"/>
    <w:rsid w:val="00ED3322"/>
    <w:rsid w:val="00ED3D20"/>
    <w:rsid w:val="00ED3F5C"/>
    <w:rsid w:val="00ED41D2"/>
    <w:rsid w:val="00ED5562"/>
    <w:rsid w:val="00ED58BF"/>
    <w:rsid w:val="00ED5A7B"/>
    <w:rsid w:val="00ED5ADD"/>
    <w:rsid w:val="00ED5C08"/>
    <w:rsid w:val="00ED6171"/>
    <w:rsid w:val="00ED6378"/>
    <w:rsid w:val="00ED6CA5"/>
    <w:rsid w:val="00ED7188"/>
    <w:rsid w:val="00ED7379"/>
    <w:rsid w:val="00ED7A6B"/>
    <w:rsid w:val="00ED7B70"/>
    <w:rsid w:val="00EE1773"/>
    <w:rsid w:val="00EE19B5"/>
    <w:rsid w:val="00EE2062"/>
    <w:rsid w:val="00EE21FD"/>
    <w:rsid w:val="00EE264D"/>
    <w:rsid w:val="00EE2F65"/>
    <w:rsid w:val="00EE3428"/>
    <w:rsid w:val="00EE3536"/>
    <w:rsid w:val="00EE363A"/>
    <w:rsid w:val="00EE3895"/>
    <w:rsid w:val="00EE3AAB"/>
    <w:rsid w:val="00EE3BBC"/>
    <w:rsid w:val="00EE3D21"/>
    <w:rsid w:val="00EE4064"/>
    <w:rsid w:val="00EE4170"/>
    <w:rsid w:val="00EE4480"/>
    <w:rsid w:val="00EE489C"/>
    <w:rsid w:val="00EE49EA"/>
    <w:rsid w:val="00EE4CDF"/>
    <w:rsid w:val="00EE4D5D"/>
    <w:rsid w:val="00EE554C"/>
    <w:rsid w:val="00EE558D"/>
    <w:rsid w:val="00EE560F"/>
    <w:rsid w:val="00EE576D"/>
    <w:rsid w:val="00EE5D20"/>
    <w:rsid w:val="00EE67C5"/>
    <w:rsid w:val="00EE6889"/>
    <w:rsid w:val="00EE6AB4"/>
    <w:rsid w:val="00EE6D56"/>
    <w:rsid w:val="00EE6E8D"/>
    <w:rsid w:val="00EE798B"/>
    <w:rsid w:val="00EE7F8A"/>
    <w:rsid w:val="00EF0150"/>
    <w:rsid w:val="00EF01E5"/>
    <w:rsid w:val="00EF0219"/>
    <w:rsid w:val="00EF072B"/>
    <w:rsid w:val="00EF1D06"/>
    <w:rsid w:val="00EF2170"/>
    <w:rsid w:val="00EF2807"/>
    <w:rsid w:val="00EF29E0"/>
    <w:rsid w:val="00EF2D2E"/>
    <w:rsid w:val="00EF336A"/>
    <w:rsid w:val="00EF3804"/>
    <w:rsid w:val="00EF3EC2"/>
    <w:rsid w:val="00EF3F10"/>
    <w:rsid w:val="00EF42BE"/>
    <w:rsid w:val="00EF4465"/>
    <w:rsid w:val="00EF4686"/>
    <w:rsid w:val="00EF493F"/>
    <w:rsid w:val="00EF49C1"/>
    <w:rsid w:val="00EF4AD7"/>
    <w:rsid w:val="00EF4CB5"/>
    <w:rsid w:val="00EF537E"/>
    <w:rsid w:val="00EF584C"/>
    <w:rsid w:val="00EF62C7"/>
    <w:rsid w:val="00EF6713"/>
    <w:rsid w:val="00EF6D60"/>
    <w:rsid w:val="00EF7134"/>
    <w:rsid w:val="00F00397"/>
    <w:rsid w:val="00F0066B"/>
    <w:rsid w:val="00F009F1"/>
    <w:rsid w:val="00F00E82"/>
    <w:rsid w:val="00F01993"/>
    <w:rsid w:val="00F01F09"/>
    <w:rsid w:val="00F02171"/>
    <w:rsid w:val="00F02237"/>
    <w:rsid w:val="00F02409"/>
    <w:rsid w:val="00F02C38"/>
    <w:rsid w:val="00F02EA9"/>
    <w:rsid w:val="00F03487"/>
    <w:rsid w:val="00F03C28"/>
    <w:rsid w:val="00F04C11"/>
    <w:rsid w:val="00F05112"/>
    <w:rsid w:val="00F06167"/>
    <w:rsid w:val="00F06315"/>
    <w:rsid w:val="00F06588"/>
    <w:rsid w:val="00F06CC4"/>
    <w:rsid w:val="00F06EB3"/>
    <w:rsid w:val="00F0725E"/>
    <w:rsid w:val="00F07775"/>
    <w:rsid w:val="00F1016B"/>
    <w:rsid w:val="00F10736"/>
    <w:rsid w:val="00F10A28"/>
    <w:rsid w:val="00F10ABE"/>
    <w:rsid w:val="00F10ED1"/>
    <w:rsid w:val="00F113C0"/>
    <w:rsid w:val="00F119CC"/>
    <w:rsid w:val="00F11B91"/>
    <w:rsid w:val="00F1222C"/>
    <w:rsid w:val="00F12317"/>
    <w:rsid w:val="00F127A5"/>
    <w:rsid w:val="00F129EA"/>
    <w:rsid w:val="00F12CEA"/>
    <w:rsid w:val="00F12DB4"/>
    <w:rsid w:val="00F13157"/>
    <w:rsid w:val="00F133FA"/>
    <w:rsid w:val="00F13C3C"/>
    <w:rsid w:val="00F150E5"/>
    <w:rsid w:val="00F150EB"/>
    <w:rsid w:val="00F169B3"/>
    <w:rsid w:val="00F16F83"/>
    <w:rsid w:val="00F17175"/>
    <w:rsid w:val="00F17355"/>
    <w:rsid w:val="00F17486"/>
    <w:rsid w:val="00F17879"/>
    <w:rsid w:val="00F179CB"/>
    <w:rsid w:val="00F17BC6"/>
    <w:rsid w:val="00F17DA2"/>
    <w:rsid w:val="00F207FD"/>
    <w:rsid w:val="00F20852"/>
    <w:rsid w:val="00F20F8A"/>
    <w:rsid w:val="00F21898"/>
    <w:rsid w:val="00F21CDF"/>
    <w:rsid w:val="00F2288B"/>
    <w:rsid w:val="00F22F67"/>
    <w:rsid w:val="00F22FB0"/>
    <w:rsid w:val="00F22FE1"/>
    <w:rsid w:val="00F23183"/>
    <w:rsid w:val="00F234D4"/>
    <w:rsid w:val="00F239C8"/>
    <w:rsid w:val="00F23AF0"/>
    <w:rsid w:val="00F23C6F"/>
    <w:rsid w:val="00F2433A"/>
    <w:rsid w:val="00F248FD"/>
    <w:rsid w:val="00F2547D"/>
    <w:rsid w:val="00F25622"/>
    <w:rsid w:val="00F25B69"/>
    <w:rsid w:val="00F25BF8"/>
    <w:rsid w:val="00F2663A"/>
    <w:rsid w:val="00F27026"/>
    <w:rsid w:val="00F270BD"/>
    <w:rsid w:val="00F273C0"/>
    <w:rsid w:val="00F274F2"/>
    <w:rsid w:val="00F27679"/>
    <w:rsid w:val="00F27868"/>
    <w:rsid w:val="00F27C8B"/>
    <w:rsid w:val="00F27FFE"/>
    <w:rsid w:val="00F300BC"/>
    <w:rsid w:val="00F3044F"/>
    <w:rsid w:val="00F30514"/>
    <w:rsid w:val="00F31363"/>
    <w:rsid w:val="00F316BB"/>
    <w:rsid w:val="00F31FDE"/>
    <w:rsid w:val="00F32256"/>
    <w:rsid w:val="00F32A62"/>
    <w:rsid w:val="00F32ECF"/>
    <w:rsid w:val="00F32F0C"/>
    <w:rsid w:val="00F32F71"/>
    <w:rsid w:val="00F33536"/>
    <w:rsid w:val="00F33566"/>
    <w:rsid w:val="00F3400C"/>
    <w:rsid w:val="00F341AD"/>
    <w:rsid w:val="00F34BC4"/>
    <w:rsid w:val="00F35149"/>
    <w:rsid w:val="00F35254"/>
    <w:rsid w:val="00F35A46"/>
    <w:rsid w:val="00F35D88"/>
    <w:rsid w:val="00F35F0A"/>
    <w:rsid w:val="00F364A2"/>
    <w:rsid w:val="00F364C9"/>
    <w:rsid w:val="00F367C6"/>
    <w:rsid w:val="00F368C1"/>
    <w:rsid w:val="00F36E6D"/>
    <w:rsid w:val="00F3702E"/>
    <w:rsid w:val="00F3720F"/>
    <w:rsid w:val="00F37342"/>
    <w:rsid w:val="00F37489"/>
    <w:rsid w:val="00F41102"/>
    <w:rsid w:val="00F41542"/>
    <w:rsid w:val="00F42695"/>
    <w:rsid w:val="00F42A7B"/>
    <w:rsid w:val="00F42F08"/>
    <w:rsid w:val="00F43D78"/>
    <w:rsid w:val="00F43E87"/>
    <w:rsid w:val="00F442A2"/>
    <w:rsid w:val="00F4461F"/>
    <w:rsid w:val="00F448F5"/>
    <w:rsid w:val="00F45E7A"/>
    <w:rsid w:val="00F4624E"/>
    <w:rsid w:val="00F4684B"/>
    <w:rsid w:val="00F46B1B"/>
    <w:rsid w:val="00F47432"/>
    <w:rsid w:val="00F478B1"/>
    <w:rsid w:val="00F47B0C"/>
    <w:rsid w:val="00F47D1E"/>
    <w:rsid w:val="00F509FD"/>
    <w:rsid w:val="00F51117"/>
    <w:rsid w:val="00F518DC"/>
    <w:rsid w:val="00F51B13"/>
    <w:rsid w:val="00F51FCC"/>
    <w:rsid w:val="00F52252"/>
    <w:rsid w:val="00F527C3"/>
    <w:rsid w:val="00F52CC8"/>
    <w:rsid w:val="00F52E74"/>
    <w:rsid w:val="00F5311F"/>
    <w:rsid w:val="00F53A9E"/>
    <w:rsid w:val="00F55488"/>
    <w:rsid w:val="00F56034"/>
    <w:rsid w:val="00F5650E"/>
    <w:rsid w:val="00F568D5"/>
    <w:rsid w:val="00F5721F"/>
    <w:rsid w:val="00F5758E"/>
    <w:rsid w:val="00F5766D"/>
    <w:rsid w:val="00F5768E"/>
    <w:rsid w:val="00F57FD7"/>
    <w:rsid w:val="00F60968"/>
    <w:rsid w:val="00F60B31"/>
    <w:rsid w:val="00F615F7"/>
    <w:rsid w:val="00F61717"/>
    <w:rsid w:val="00F61AAF"/>
    <w:rsid w:val="00F61C12"/>
    <w:rsid w:val="00F622FD"/>
    <w:rsid w:val="00F623AD"/>
    <w:rsid w:val="00F629C9"/>
    <w:rsid w:val="00F6344A"/>
    <w:rsid w:val="00F639AC"/>
    <w:rsid w:val="00F63BA1"/>
    <w:rsid w:val="00F64591"/>
    <w:rsid w:val="00F64746"/>
    <w:rsid w:val="00F647F6"/>
    <w:rsid w:val="00F64F30"/>
    <w:rsid w:val="00F665C2"/>
    <w:rsid w:val="00F6662A"/>
    <w:rsid w:val="00F66E9A"/>
    <w:rsid w:val="00F67179"/>
    <w:rsid w:val="00F67AE2"/>
    <w:rsid w:val="00F70085"/>
    <w:rsid w:val="00F704CD"/>
    <w:rsid w:val="00F70527"/>
    <w:rsid w:val="00F70659"/>
    <w:rsid w:val="00F70B22"/>
    <w:rsid w:val="00F70F76"/>
    <w:rsid w:val="00F7105C"/>
    <w:rsid w:val="00F717AD"/>
    <w:rsid w:val="00F72480"/>
    <w:rsid w:val="00F72661"/>
    <w:rsid w:val="00F72925"/>
    <w:rsid w:val="00F72A99"/>
    <w:rsid w:val="00F733D6"/>
    <w:rsid w:val="00F73BCE"/>
    <w:rsid w:val="00F73C31"/>
    <w:rsid w:val="00F73FD3"/>
    <w:rsid w:val="00F74417"/>
    <w:rsid w:val="00F74629"/>
    <w:rsid w:val="00F75072"/>
    <w:rsid w:val="00F755D4"/>
    <w:rsid w:val="00F756E0"/>
    <w:rsid w:val="00F7581D"/>
    <w:rsid w:val="00F75EF4"/>
    <w:rsid w:val="00F75F7B"/>
    <w:rsid w:val="00F75F99"/>
    <w:rsid w:val="00F7641A"/>
    <w:rsid w:val="00F769A9"/>
    <w:rsid w:val="00F77380"/>
    <w:rsid w:val="00F773E6"/>
    <w:rsid w:val="00F77B9E"/>
    <w:rsid w:val="00F800B9"/>
    <w:rsid w:val="00F801DA"/>
    <w:rsid w:val="00F801DC"/>
    <w:rsid w:val="00F80253"/>
    <w:rsid w:val="00F803BF"/>
    <w:rsid w:val="00F805F7"/>
    <w:rsid w:val="00F80757"/>
    <w:rsid w:val="00F807C7"/>
    <w:rsid w:val="00F80A3F"/>
    <w:rsid w:val="00F8202D"/>
    <w:rsid w:val="00F8227B"/>
    <w:rsid w:val="00F82397"/>
    <w:rsid w:val="00F826B0"/>
    <w:rsid w:val="00F82958"/>
    <w:rsid w:val="00F82A1A"/>
    <w:rsid w:val="00F8311C"/>
    <w:rsid w:val="00F836F1"/>
    <w:rsid w:val="00F8370A"/>
    <w:rsid w:val="00F83E86"/>
    <w:rsid w:val="00F84456"/>
    <w:rsid w:val="00F846D2"/>
    <w:rsid w:val="00F85099"/>
    <w:rsid w:val="00F85186"/>
    <w:rsid w:val="00F85571"/>
    <w:rsid w:val="00F86144"/>
    <w:rsid w:val="00F86488"/>
    <w:rsid w:val="00F86874"/>
    <w:rsid w:val="00F86997"/>
    <w:rsid w:val="00F870D2"/>
    <w:rsid w:val="00F87480"/>
    <w:rsid w:val="00F87897"/>
    <w:rsid w:val="00F87F13"/>
    <w:rsid w:val="00F900B8"/>
    <w:rsid w:val="00F90185"/>
    <w:rsid w:val="00F902CE"/>
    <w:rsid w:val="00F904E2"/>
    <w:rsid w:val="00F90907"/>
    <w:rsid w:val="00F90B98"/>
    <w:rsid w:val="00F90C2B"/>
    <w:rsid w:val="00F9120C"/>
    <w:rsid w:val="00F912B7"/>
    <w:rsid w:val="00F913C9"/>
    <w:rsid w:val="00F91850"/>
    <w:rsid w:val="00F91B7A"/>
    <w:rsid w:val="00F91BCF"/>
    <w:rsid w:val="00F91D4D"/>
    <w:rsid w:val="00F91ED3"/>
    <w:rsid w:val="00F921AA"/>
    <w:rsid w:val="00F927A5"/>
    <w:rsid w:val="00F92913"/>
    <w:rsid w:val="00F93F59"/>
    <w:rsid w:val="00F940C3"/>
    <w:rsid w:val="00F94329"/>
    <w:rsid w:val="00F945F3"/>
    <w:rsid w:val="00F94A1D"/>
    <w:rsid w:val="00F94A2F"/>
    <w:rsid w:val="00F94D5E"/>
    <w:rsid w:val="00F94DE9"/>
    <w:rsid w:val="00F95469"/>
    <w:rsid w:val="00F95A33"/>
    <w:rsid w:val="00F95AAE"/>
    <w:rsid w:val="00F95C40"/>
    <w:rsid w:val="00F963CC"/>
    <w:rsid w:val="00F969F5"/>
    <w:rsid w:val="00F96D5C"/>
    <w:rsid w:val="00F97BAD"/>
    <w:rsid w:val="00F97C31"/>
    <w:rsid w:val="00F97E05"/>
    <w:rsid w:val="00FA03DB"/>
    <w:rsid w:val="00FA06A1"/>
    <w:rsid w:val="00FA0936"/>
    <w:rsid w:val="00FA0B8D"/>
    <w:rsid w:val="00FA122E"/>
    <w:rsid w:val="00FA1632"/>
    <w:rsid w:val="00FA1693"/>
    <w:rsid w:val="00FA17A0"/>
    <w:rsid w:val="00FA19A3"/>
    <w:rsid w:val="00FA1A86"/>
    <w:rsid w:val="00FA1AEA"/>
    <w:rsid w:val="00FA2130"/>
    <w:rsid w:val="00FA236C"/>
    <w:rsid w:val="00FA27C5"/>
    <w:rsid w:val="00FA28CD"/>
    <w:rsid w:val="00FA3767"/>
    <w:rsid w:val="00FA3B95"/>
    <w:rsid w:val="00FA3C62"/>
    <w:rsid w:val="00FA3D44"/>
    <w:rsid w:val="00FA4A33"/>
    <w:rsid w:val="00FA4E53"/>
    <w:rsid w:val="00FA52FC"/>
    <w:rsid w:val="00FA5543"/>
    <w:rsid w:val="00FA6008"/>
    <w:rsid w:val="00FA6138"/>
    <w:rsid w:val="00FA6725"/>
    <w:rsid w:val="00FA6C97"/>
    <w:rsid w:val="00FB005A"/>
    <w:rsid w:val="00FB051D"/>
    <w:rsid w:val="00FB0BBE"/>
    <w:rsid w:val="00FB1C80"/>
    <w:rsid w:val="00FB204B"/>
    <w:rsid w:val="00FB247E"/>
    <w:rsid w:val="00FB2776"/>
    <w:rsid w:val="00FB27BB"/>
    <w:rsid w:val="00FB2BFD"/>
    <w:rsid w:val="00FB32B3"/>
    <w:rsid w:val="00FB3582"/>
    <w:rsid w:val="00FB3AC2"/>
    <w:rsid w:val="00FB3C2D"/>
    <w:rsid w:val="00FB3D03"/>
    <w:rsid w:val="00FB3E2E"/>
    <w:rsid w:val="00FB4720"/>
    <w:rsid w:val="00FB4ABF"/>
    <w:rsid w:val="00FB4B60"/>
    <w:rsid w:val="00FB4C1F"/>
    <w:rsid w:val="00FB4C8D"/>
    <w:rsid w:val="00FB4F56"/>
    <w:rsid w:val="00FB5A08"/>
    <w:rsid w:val="00FB68BF"/>
    <w:rsid w:val="00FB68E9"/>
    <w:rsid w:val="00FB6D97"/>
    <w:rsid w:val="00FB6DE8"/>
    <w:rsid w:val="00FB6F41"/>
    <w:rsid w:val="00FB734B"/>
    <w:rsid w:val="00FB7644"/>
    <w:rsid w:val="00FB7BEB"/>
    <w:rsid w:val="00FC025A"/>
    <w:rsid w:val="00FC02EB"/>
    <w:rsid w:val="00FC082E"/>
    <w:rsid w:val="00FC0968"/>
    <w:rsid w:val="00FC0DD3"/>
    <w:rsid w:val="00FC0EAC"/>
    <w:rsid w:val="00FC1DAF"/>
    <w:rsid w:val="00FC20B4"/>
    <w:rsid w:val="00FC31CC"/>
    <w:rsid w:val="00FC34C3"/>
    <w:rsid w:val="00FC3AD5"/>
    <w:rsid w:val="00FC3AD6"/>
    <w:rsid w:val="00FC42EA"/>
    <w:rsid w:val="00FC431E"/>
    <w:rsid w:val="00FC433C"/>
    <w:rsid w:val="00FC43E7"/>
    <w:rsid w:val="00FC45E3"/>
    <w:rsid w:val="00FC47C5"/>
    <w:rsid w:val="00FC4864"/>
    <w:rsid w:val="00FC48DA"/>
    <w:rsid w:val="00FC4EB2"/>
    <w:rsid w:val="00FC56E3"/>
    <w:rsid w:val="00FC59E1"/>
    <w:rsid w:val="00FC5A64"/>
    <w:rsid w:val="00FC6170"/>
    <w:rsid w:val="00FC652E"/>
    <w:rsid w:val="00FC6E4D"/>
    <w:rsid w:val="00FC715C"/>
    <w:rsid w:val="00FC7A28"/>
    <w:rsid w:val="00FC7B4A"/>
    <w:rsid w:val="00FC7EEE"/>
    <w:rsid w:val="00FD0A06"/>
    <w:rsid w:val="00FD103A"/>
    <w:rsid w:val="00FD1236"/>
    <w:rsid w:val="00FD12F2"/>
    <w:rsid w:val="00FD1792"/>
    <w:rsid w:val="00FD19D4"/>
    <w:rsid w:val="00FD1A5E"/>
    <w:rsid w:val="00FD1AA3"/>
    <w:rsid w:val="00FD1F27"/>
    <w:rsid w:val="00FD2205"/>
    <w:rsid w:val="00FD2376"/>
    <w:rsid w:val="00FD2730"/>
    <w:rsid w:val="00FD2950"/>
    <w:rsid w:val="00FD2A37"/>
    <w:rsid w:val="00FD2C00"/>
    <w:rsid w:val="00FD2C1A"/>
    <w:rsid w:val="00FD3185"/>
    <w:rsid w:val="00FD31AA"/>
    <w:rsid w:val="00FD353C"/>
    <w:rsid w:val="00FD3F59"/>
    <w:rsid w:val="00FD441E"/>
    <w:rsid w:val="00FD45F5"/>
    <w:rsid w:val="00FD4943"/>
    <w:rsid w:val="00FD499A"/>
    <w:rsid w:val="00FD4B00"/>
    <w:rsid w:val="00FD53E0"/>
    <w:rsid w:val="00FD5407"/>
    <w:rsid w:val="00FD541A"/>
    <w:rsid w:val="00FD55C9"/>
    <w:rsid w:val="00FD5783"/>
    <w:rsid w:val="00FD57E9"/>
    <w:rsid w:val="00FD5A95"/>
    <w:rsid w:val="00FD5B80"/>
    <w:rsid w:val="00FD5D77"/>
    <w:rsid w:val="00FD6635"/>
    <w:rsid w:val="00FD6C36"/>
    <w:rsid w:val="00FD6F2B"/>
    <w:rsid w:val="00FD724C"/>
    <w:rsid w:val="00FD725F"/>
    <w:rsid w:val="00FD7742"/>
    <w:rsid w:val="00FE0366"/>
    <w:rsid w:val="00FE07B1"/>
    <w:rsid w:val="00FE08D3"/>
    <w:rsid w:val="00FE0AE9"/>
    <w:rsid w:val="00FE0C8F"/>
    <w:rsid w:val="00FE1319"/>
    <w:rsid w:val="00FE13AF"/>
    <w:rsid w:val="00FE2058"/>
    <w:rsid w:val="00FE245A"/>
    <w:rsid w:val="00FE2735"/>
    <w:rsid w:val="00FE2A5D"/>
    <w:rsid w:val="00FE2A6A"/>
    <w:rsid w:val="00FE2B55"/>
    <w:rsid w:val="00FE2E5F"/>
    <w:rsid w:val="00FE367E"/>
    <w:rsid w:val="00FE3BBA"/>
    <w:rsid w:val="00FE4246"/>
    <w:rsid w:val="00FE4E96"/>
    <w:rsid w:val="00FE4FB2"/>
    <w:rsid w:val="00FE4FCA"/>
    <w:rsid w:val="00FE5386"/>
    <w:rsid w:val="00FE597C"/>
    <w:rsid w:val="00FE5DA7"/>
    <w:rsid w:val="00FE5E50"/>
    <w:rsid w:val="00FE6024"/>
    <w:rsid w:val="00FE604A"/>
    <w:rsid w:val="00FE65EC"/>
    <w:rsid w:val="00FE6A94"/>
    <w:rsid w:val="00FE6DE4"/>
    <w:rsid w:val="00FE7290"/>
    <w:rsid w:val="00FE7B38"/>
    <w:rsid w:val="00FF02CE"/>
    <w:rsid w:val="00FF12A9"/>
    <w:rsid w:val="00FF1854"/>
    <w:rsid w:val="00FF211A"/>
    <w:rsid w:val="00FF24EA"/>
    <w:rsid w:val="00FF2A70"/>
    <w:rsid w:val="00FF335E"/>
    <w:rsid w:val="00FF388B"/>
    <w:rsid w:val="00FF3A44"/>
    <w:rsid w:val="00FF418C"/>
    <w:rsid w:val="00FF42C3"/>
    <w:rsid w:val="00FF467A"/>
    <w:rsid w:val="00FF47A7"/>
    <w:rsid w:val="00FF4D3B"/>
    <w:rsid w:val="00FF5273"/>
    <w:rsid w:val="00FF53B7"/>
    <w:rsid w:val="00FF5695"/>
    <w:rsid w:val="00FF5713"/>
    <w:rsid w:val="00FF59F6"/>
    <w:rsid w:val="00FF5F37"/>
    <w:rsid w:val="00FF613C"/>
    <w:rsid w:val="00FF62FC"/>
    <w:rsid w:val="00FF6777"/>
    <w:rsid w:val="00FF67D6"/>
    <w:rsid w:val="00FF67D7"/>
    <w:rsid w:val="00FF7176"/>
    <w:rsid w:val="00FF7D82"/>
    <w:rsid w:val="00FF7D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7A5F0"/>
  <w15:docId w15:val="{AF741D14-7C62-4FCC-8D41-5BF36260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8519F7"/>
    <w:pPr>
      <w:ind w:left="720"/>
      <w:contextualSpacing/>
    </w:pPr>
  </w:style>
  <w:style w:type="paragraph" w:styleId="Notedebasdepage">
    <w:name w:val="footnote text"/>
    <w:basedOn w:val="Normal"/>
    <w:link w:val="NotedebasdepageCar"/>
    <w:semiHidden/>
    <w:unhideWhenUsed/>
    <w:rsid w:val="005C55E7"/>
    <w:pPr>
      <w:spacing w:after="0" w:line="240" w:lineRule="auto"/>
    </w:pPr>
    <w:rPr>
      <w:sz w:val="20"/>
      <w:szCs w:val="20"/>
    </w:rPr>
  </w:style>
  <w:style w:type="character" w:customStyle="1" w:styleId="NotedebasdepageCar">
    <w:name w:val="Note de bas de page Car"/>
    <w:basedOn w:val="Policepardfaut"/>
    <w:link w:val="Notedebasdepage"/>
    <w:semiHidden/>
    <w:rsid w:val="005C55E7"/>
    <w:rPr>
      <w:sz w:val="20"/>
      <w:szCs w:val="20"/>
    </w:rPr>
  </w:style>
  <w:style w:type="character" w:styleId="Appelnotedebasdep">
    <w:name w:val="footnote reference"/>
    <w:basedOn w:val="Policepardfaut"/>
    <w:semiHidden/>
    <w:unhideWhenUsed/>
    <w:rsid w:val="005C55E7"/>
    <w:rPr>
      <w:vertAlign w:val="superscript"/>
    </w:rPr>
  </w:style>
  <w:style w:type="paragraph" w:styleId="En-tte">
    <w:name w:val="header"/>
    <w:basedOn w:val="Normal"/>
    <w:link w:val="En-tteCar"/>
    <w:uiPriority w:val="99"/>
    <w:unhideWhenUsed/>
    <w:rsid w:val="00B73174"/>
    <w:pPr>
      <w:tabs>
        <w:tab w:val="center" w:pos="4536"/>
        <w:tab w:val="right" w:pos="9072"/>
      </w:tabs>
      <w:spacing w:after="0" w:line="240" w:lineRule="auto"/>
    </w:pPr>
  </w:style>
  <w:style w:type="character" w:customStyle="1" w:styleId="En-tteCar">
    <w:name w:val="En-tête Car"/>
    <w:basedOn w:val="Policepardfaut"/>
    <w:link w:val="En-tte"/>
    <w:uiPriority w:val="99"/>
    <w:rsid w:val="00B73174"/>
  </w:style>
  <w:style w:type="paragraph" w:styleId="Pieddepage">
    <w:name w:val="footer"/>
    <w:basedOn w:val="Normal"/>
    <w:link w:val="PieddepageCar"/>
    <w:uiPriority w:val="99"/>
    <w:unhideWhenUsed/>
    <w:rsid w:val="00B731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3174"/>
  </w:style>
  <w:style w:type="table" w:styleId="Grilledutableau">
    <w:name w:val="Table Grid"/>
    <w:basedOn w:val="TableauNormal"/>
    <w:rsid w:val="00356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E4E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4E2F"/>
    <w:rPr>
      <w:rFonts w:ascii="Segoe UI" w:hAnsi="Segoe UI" w:cs="Segoe UI"/>
      <w:sz w:val="18"/>
      <w:szCs w:val="18"/>
    </w:rPr>
  </w:style>
  <w:style w:type="character" w:styleId="Marquedecommentaire">
    <w:name w:val="annotation reference"/>
    <w:basedOn w:val="Policepardfaut"/>
    <w:uiPriority w:val="99"/>
    <w:semiHidden/>
    <w:unhideWhenUsed/>
    <w:rsid w:val="00701B5D"/>
    <w:rPr>
      <w:sz w:val="16"/>
      <w:szCs w:val="16"/>
    </w:rPr>
  </w:style>
  <w:style w:type="paragraph" w:styleId="Commentaire">
    <w:name w:val="annotation text"/>
    <w:basedOn w:val="Normal"/>
    <w:link w:val="CommentaireCar"/>
    <w:uiPriority w:val="99"/>
    <w:unhideWhenUsed/>
    <w:rsid w:val="00701B5D"/>
    <w:pPr>
      <w:spacing w:line="240" w:lineRule="auto"/>
    </w:pPr>
    <w:rPr>
      <w:sz w:val="20"/>
      <w:szCs w:val="20"/>
    </w:rPr>
  </w:style>
  <w:style w:type="character" w:customStyle="1" w:styleId="CommentaireCar">
    <w:name w:val="Commentaire Car"/>
    <w:basedOn w:val="Policepardfaut"/>
    <w:link w:val="Commentaire"/>
    <w:uiPriority w:val="99"/>
    <w:rsid w:val="00701B5D"/>
    <w:rPr>
      <w:sz w:val="20"/>
      <w:szCs w:val="20"/>
    </w:rPr>
  </w:style>
  <w:style w:type="paragraph" w:styleId="Objetducommentaire">
    <w:name w:val="annotation subject"/>
    <w:basedOn w:val="Commentaire"/>
    <w:next w:val="Commentaire"/>
    <w:link w:val="ObjetducommentaireCar"/>
    <w:uiPriority w:val="99"/>
    <w:semiHidden/>
    <w:unhideWhenUsed/>
    <w:rsid w:val="00701B5D"/>
    <w:rPr>
      <w:b/>
      <w:bCs/>
    </w:rPr>
  </w:style>
  <w:style w:type="character" w:customStyle="1" w:styleId="ObjetducommentaireCar">
    <w:name w:val="Objet du commentaire Car"/>
    <w:basedOn w:val="CommentaireCar"/>
    <w:link w:val="Objetducommentaire"/>
    <w:uiPriority w:val="99"/>
    <w:semiHidden/>
    <w:rsid w:val="00701B5D"/>
    <w:rPr>
      <w:b/>
      <w:bCs/>
      <w:sz w:val="20"/>
      <w:szCs w:val="20"/>
    </w:rPr>
  </w:style>
  <w:style w:type="paragraph" w:styleId="Sansinterligne">
    <w:name w:val="No Spacing"/>
    <w:uiPriority w:val="1"/>
    <w:qFormat/>
    <w:rsid w:val="00330C2D"/>
    <w:pPr>
      <w:spacing w:after="0" w:line="240" w:lineRule="auto"/>
    </w:pPr>
  </w:style>
  <w:style w:type="paragraph" w:styleId="NormalWeb">
    <w:name w:val="Normal (Web)"/>
    <w:basedOn w:val="Normal"/>
    <w:uiPriority w:val="99"/>
    <w:unhideWhenUsed/>
    <w:rsid w:val="00EF2D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7436BD"/>
    <w:pPr>
      <w:spacing w:after="0" w:line="240" w:lineRule="auto"/>
    </w:pPr>
  </w:style>
  <w:style w:type="table" w:customStyle="1" w:styleId="Grilledutableau1">
    <w:name w:val="Grille du tableau1"/>
    <w:basedOn w:val="TableauNormal"/>
    <w:next w:val="Grilledutableau"/>
    <w:rsid w:val="00EE56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5D0F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26077">
      <w:bodyDiv w:val="1"/>
      <w:marLeft w:val="0"/>
      <w:marRight w:val="0"/>
      <w:marTop w:val="0"/>
      <w:marBottom w:val="0"/>
      <w:divBdr>
        <w:top w:val="none" w:sz="0" w:space="0" w:color="auto"/>
        <w:left w:val="none" w:sz="0" w:space="0" w:color="auto"/>
        <w:bottom w:val="none" w:sz="0" w:space="0" w:color="auto"/>
        <w:right w:val="none" w:sz="0" w:space="0" w:color="auto"/>
      </w:divBdr>
    </w:div>
    <w:div w:id="337661294">
      <w:bodyDiv w:val="1"/>
      <w:marLeft w:val="0"/>
      <w:marRight w:val="0"/>
      <w:marTop w:val="0"/>
      <w:marBottom w:val="0"/>
      <w:divBdr>
        <w:top w:val="none" w:sz="0" w:space="0" w:color="auto"/>
        <w:left w:val="none" w:sz="0" w:space="0" w:color="auto"/>
        <w:bottom w:val="none" w:sz="0" w:space="0" w:color="auto"/>
        <w:right w:val="none" w:sz="0" w:space="0" w:color="auto"/>
      </w:divBdr>
    </w:div>
    <w:div w:id="420948733">
      <w:bodyDiv w:val="1"/>
      <w:marLeft w:val="0"/>
      <w:marRight w:val="0"/>
      <w:marTop w:val="0"/>
      <w:marBottom w:val="0"/>
      <w:divBdr>
        <w:top w:val="none" w:sz="0" w:space="0" w:color="auto"/>
        <w:left w:val="none" w:sz="0" w:space="0" w:color="auto"/>
        <w:bottom w:val="none" w:sz="0" w:space="0" w:color="auto"/>
        <w:right w:val="none" w:sz="0" w:space="0" w:color="auto"/>
      </w:divBdr>
    </w:div>
    <w:div w:id="463624510">
      <w:bodyDiv w:val="1"/>
      <w:marLeft w:val="0"/>
      <w:marRight w:val="0"/>
      <w:marTop w:val="0"/>
      <w:marBottom w:val="0"/>
      <w:divBdr>
        <w:top w:val="none" w:sz="0" w:space="0" w:color="auto"/>
        <w:left w:val="none" w:sz="0" w:space="0" w:color="auto"/>
        <w:bottom w:val="none" w:sz="0" w:space="0" w:color="auto"/>
        <w:right w:val="none" w:sz="0" w:space="0" w:color="auto"/>
      </w:divBdr>
    </w:div>
    <w:div w:id="511916732">
      <w:bodyDiv w:val="1"/>
      <w:marLeft w:val="0"/>
      <w:marRight w:val="0"/>
      <w:marTop w:val="0"/>
      <w:marBottom w:val="0"/>
      <w:divBdr>
        <w:top w:val="none" w:sz="0" w:space="0" w:color="auto"/>
        <w:left w:val="none" w:sz="0" w:space="0" w:color="auto"/>
        <w:bottom w:val="none" w:sz="0" w:space="0" w:color="auto"/>
        <w:right w:val="none" w:sz="0" w:space="0" w:color="auto"/>
      </w:divBdr>
    </w:div>
    <w:div w:id="543178889">
      <w:bodyDiv w:val="1"/>
      <w:marLeft w:val="0"/>
      <w:marRight w:val="0"/>
      <w:marTop w:val="0"/>
      <w:marBottom w:val="0"/>
      <w:divBdr>
        <w:top w:val="none" w:sz="0" w:space="0" w:color="auto"/>
        <w:left w:val="none" w:sz="0" w:space="0" w:color="auto"/>
        <w:bottom w:val="none" w:sz="0" w:space="0" w:color="auto"/>
        <w:right w:val="none" w:sz="0" w:space="0" w:color="auto"/>
      </w:divBdr>
    </w:div>
    <w:div w:id="714089145">
      <w:bodyDiv w:val="1"/>
      <w:marLeft w:val="0"/>
      <w:marRight w:val="0"/>
      <w:marTop w:val="0"/>
      <w:marBottom w:val="0"/>
      <w:divBdr>
        <w:top w:val="none" w:sz="0" w:space="0" w:color="auto"/>
        <w:left w:val="none" w:sz="0" w:space="0" w:color="auto"/>
        <w:bottom w:val="none" w:sz="0" w:space="0" w:color="auto"/>
        <w:right w:val="none" w:sz="0" w:space="0" w:color="auto"/>
      </w:divBdr>
    </w:div>
    <w:div w:id="743838442">
      <w:bodyDiv w:val="1"/>
      <w:marLeft w:val="0"/>
      <w:marRight w:val="0"/>
      <w:marTop w:val="0"/>
      <w:marBottom w:val="0"/>
      <w:divBdr>
        <w:top w:val="none" w:sz="0" w:space="0" w:color="auto"/>
        <w:left w:val="none" w:sz="0" w:space="0" w:color="auto"/>
        <w:bottom w:val="none" w:sz="0" w:space="0" w:color="auto"/>
        <w:right w:val="none" w:sz="0" w:space="0" w:color="auto"/>
      </w:divBdr>
    </w:div>
    <w:div w:id="792872439">
      <w:bodyDiv w:val="1"/>
      <w:marLeft w:val="0"/>
      <w:marRight w:val="0"/>
      <w:marTop w:val="0"/>
      <w:marBottom w:val="0"/>
      <w:divBdr>
        <w:top w:val="none" w:sz="0" w:space="0" w:color="auto"/>
        <w:left w:val="none" w:sz="0" w:space="0" w:color="auto"/>
        <w:bottom w:val="none" w:sz="0" w:space="0" w:color="auto"/>
        <w:right w:val="none" w:sz="0" w:space="0" w:color="auto"/>
      </w:divBdr>
    </w:div>
    <w:div w:id="813108659">
      <w:bodyDiv w:val="1"/>
      <w:marLeft w:val="0"/>
      <w:marRight w:val="0"/>
      <w:marTop w:val="0"/>
      <w:marBottom w:val="0"/>
      <w:divBdr>
        <w:top w:val="none" w:sz="0" w:space="0" w:color="auto"/>
        <w:left w:val="none" w:sz="0" w:space="0" w:color="auto"/>
        <w:bottom w:val="none" w:sz="0" w:space="0" w:color="auto"/>
        <w:right w:val="none" w:sz="0" w:space="0" w:color="auto"/>
      </w:divBdr>
    </w:div>
    <w:div w:id="847215704">
      <w:bodyDiv w:val="1"/>
      <w:marLeft w:val="0"/>
      <w:marRight w:val="0"/>
      <w:marTop w:val="0"/>
      <w:marBottom w:val="0"/>
      <w:divBdr>
        <w:top w:val="none" w:sz="0" w:space="0" w:color="auto"/>
        <w:left w:val="none" w:sz="0" w:space="0" w:color="auto"/>
        <w:bottom w:val="none" w:sz="0" w:space="0" w:color="auto"/>
        <w:right w:val="none" w:sz="0" w:space="0" w:color="auto"/>
      </w:divBdr>
    </w:div>
    <w:div w:id="1029182441">
      <w:bodyDiv w:val="1"/>
      <w:marLeft w:val="0"/>
      <w:marRight w:val="0"/>
      <w:marTop w:val="0"/>
      <w:marBottom w:val="0"/>
      <w:divBdr>
        <w:top w:val="none" w:sz="0" w:space="0" w:color="auto"/>
        <w:left w:val="none" w:sz="0" w:space="0" w:color="auto"/>
        <w:bottom w:val="none" w:sz="0" w:space="0" w:color="auto"/>
        <w:right w:val="none" w:sz="0" w:space="0" w:color="auto"/>
      </w:divBdr>
    </w:div>
    <w:div w:id="1041057473">
      <w:bodyDiv w:val="1"/>
      <w:marLeft w:val="0"/>
      <w:marRight w:val="0"/>
      <w:marTop w:val="0"/>
      <w:marBottom w:val="0"/>
      <w:divBdr>
        <w:top w:val="none" w:sz="0" w:space="0" w:color="auto"/>
        <w:left w:val="none" w:sz="0" w:space="0" w:color="auto"/>
        <w:bottom w:val="none" w:sz="0" w:space="0" w:color="auto"/>
        <w:right w:val="none" w:sz="0" w:space="0" w:color="auto"/>
      </w:divBdr>
    </w:div>
    <w:div w:id="1158616502">
      <w:bodyDiv w:val="1"/>
      <w:marLeft w:val="0"/>
      <w:marRight w:val="0"/>
      <w:marTop w:val="0"/>
      <w:marBottom w:val="0"/>
      <w:divBdr>
        <w:top w:val="none" w:sz="0" w:space="0" w:color="auto"/>
        <w:left w:val="none" w:sz="0" w:space="0" w:color="auto"/>
        <w:bottom w:val="none" w:sz="0" w:space="0" w:color="auto"/>
        <w:right w:val="none" w:sz="0" w:space="0" w:color="auto"/>
      </w:divBdr>
    </w:div>
    <w:div w:id="1196772933">
      <w:bodyDiv w:val="1"/>
      <w:marLeft w:val="0"/>
      <w:marRight w:val="0"/>
      <w:marTop w:val="0"/>
      <w:marBottom w:val="0"/>
      <w:divBdr>
        <w:top w:val="none" w:sz="0" w:space="0" w:color="auto"/>
        <w:left w:val="none" w:sz="0" w:space="0" w:color="auto"/>
        <w:bottom w:val="none" w:sz="0" w:space="0" w:color="auto"/>
        <w:right w:val="none" w:sz="0" w:space="0" w:color="auto"/>
      </w:divBdr>
    </w:div>
    <w:div w:id="1390305867">
      <w:bodyDiv w:val="1"/>
      <w:marLeft w:val="0"/>
      <w:marRight w:val="0"/>
      <w:marTop w:val="0"/>
      <w:marBottom w:val="0"/>
      <w:divBdr>
        <w:top w:val="none" w:sz="0" w:space="0" w:color="auto"/>
        <w:left w:val="none" w:sz="0" w:space="0" w:color="auto"/>
        <w:bottom w:val="none" w:sz="0" w:space="0" w:color="auto"/>
        <w:right w:val="none" w:sz="0" w:space="0" w:color="auto"/>
      </w:divBdr>
    </w:div>
    <w:div w:id="1422337247">
      <w:bodyDiv w:val="1"/>
      <w:marLeft w:val="0"/>
      <w:marRight w:val="0"/>
      <w:marTop w:val="0"/>
      <w:marBottom w:val="0"/>
      <w:divBdr>
        <w:top w:val="none" w:sz="0" w:space="0" w:color="auto"/>
        <w:left w:val="none" w:sz="0" w:space="0" w:color="auto"/>
        <w:bottom w:val="none" w:sz="0" w:space="0" w:color="auto"/>
        <w:right w:val="none" w:sz="0" w:space="0" w:color="auto"/>
      </w:divBdr>
    </w:div>
    <w:div w:id="1463570350">
      <w:bodyDiv w:val="1"/>
      <w:marLeft w:val="0"/>
      <w:marRight w:val="0"/>
      <w:marTop w:val="0"/>
      <w:marBottom w:val="0"/>
      <w:divBdr>
        <w:top w:val="none" w:sz="0" w:space="0" w:color="auto"/>
        <w:left w:val="none" w:sz="0" w:space="0" w:color="auto"/>
        <w:bottom w:val="none" w:sz="0" w:space="0" w:color="auto"/>
        <w:right w:val="none" w:sz="0" w:space="0" w:color="auto"/>
      </w:divBdr>
    </w:div>
    <w:div w:id="1545169871">
      <w:bodyDiv w:val="1"/>
      <w:marLeft w:val="0"/>
      <w:marRight w:val="0"/>
      <w:marTop w:val="0"/>
      <w:marBottom w:val="0"/>
      <w:divBdr>
        <w:top w:val="none" w:sz="0" w:space="0" w:color="auto"/>
        <w:left w:val="none" w:sz="0" w:space="0" w:color="auto"/>
        <w:bottom w:val="none" w:sz="0" w:space="0" w:color="auto"/>
        <w:right w:val="none" w:sz="0" w:space="0" w:color="auto"/>
      </w:divBdr>
    </w:div>
    <w:div w:id="1573655518">
      <w:bodyDiv w:val="1"/>
      <w:marLeft w:val="0"/>
      <w:marRight w:val="0"/>
      <w:marTop w:val="0"/>
      <w:marBottom w:val="0"/>
      <w:divBdr>
        <w:top w:val="none" w:sz="0" w:space="0" w:color="auto"/>
        <w:left w:val="none" w:sz="0" w:space="0" w:color="auto"/>
        <w:bottom w:val="none" w:sz="0" w:space="0" w:color="auto"/>
        <w:right w:val="none" w:sz="0" w:space="0" w:color="auto"/>
      </w:divBdr>
    </w:div>
    <w:div w:id="1612931545">
      <w:bodyDiv w:val="1"/>
      <w:marLeft w:val="0"/>
      <w:marRight w:val="0"/>
      <w:marTop w:val="0"/>
      <w:marBottom w:val="0"/>
      <w:divBdr>
        <w:top w:val="none" w:sz="0" w:space="0" w:color="auto"/>
        <w:left w:val="none" w:sz="0" w:space="0" w:color="auto"/>
        <w:bottom w:val="none" w:sz="0" w:space="0" w:color="auto"/>
        <w:right w:val="none" w:sz="0" w:space="0" w:color="auto"/>
      </w:divBdr>
    </w:div>
    <w:div w:id="1678265458">
      <w:bodyDiv w:val="1"/>
      <w:marLeft w:val="0"/>
      <w:marRight w:val="0"/>
      <w:marTop w:val="0"/>
      <w:marBottom w:val="0"/>
      <w:divBdr>
        <w:top w:val="none" w:sz="0" w:space="0" w:color="auto"/>
        <w:left w:val="none" w:sz="0" w:space="0" w:color="auto"/>
        <w:bottom w:val="none" w:sz="0" w:space="0" w:color="auto"/>
        <w:right w:val="none" w:sz="0" w:space="0" w:color="auto"/>
      </w:divBdr>
      <w:divsChild>
        <w:div w:id="2014451665">
          <w:marLeft w:val="274"/>
          <w:marRight w:val="0"/>
          <w:marTop w:val="0"/>
          <w:marBottom w:val="0"/>
          <w:divBdr>
            <w:top w:val="none" w:sz="0" w:space="0" w:color="auto"/>
            <w:left w:val="none" w:sz="0" w:space="0" w:color="auto"/>
            <w:bottom w:val="none" w:sz="0" w:space="0" w:color="auto"/>
            <w:right w:val="none" w:sz="0" w:space="0" w:color="auto"/>
          </w:divBdr>
        </w:div>
        <w:div w:id="1104037542">
          <w:marLeft w:val="274"/>
          <w:marRight w:val="0"/>
          <w:marTop w:val="0"/>
          <w:marBottom w:val="0"/>
          <w:divBdr>
            <w:top w:val="none" w:sz="0" w:space="0" w:color="auto"/>
            <w:left w:val="none" w:sz="0" w:space="0" w:color="auto"/>
            <w:bottom w:val="none" w:sz="0" w:space="0" w:color="auto"/>
            <w:right w:val="none" w:sz="0" w:space="0" w:color="auto"/>
          </w:divBdr>
        </w:div>
      </w:divsChild>
    </w:div>
    <w:div w:id="1721637206">
      <w:bodyDiv w:val="1"/>
      <w:marLeft w:val="0"/>
      <w:marRight w:val="0"/>
      <w:marTop w:val="0"/>
      <w:marBottom w:val="0"/>
      <w:divBdr>
        <w:top w:val="none" w:sz="0" w:space="0" w:color="auto"/>
        <w:left w:val="none" w:sz="0" w:space="0" w:color="auto"/>
        <w:bottom w:val="none" w:sz="0" w:space="0" w:color="auto"/>
        <w:right w:val="none" w:sz="0" w:space="0" w:color="auto"/>
      </w:divBdr>
    </w:div>
    <w:div w:id="1726678885">
      <w:bodyDiv w:val="1"/>
      <w:marLeft w:val="0"/>
      <w:marRight w:val="0"/>
      <w:marTop w:val="0"/>
      <w:marBottom w:val="0"/>
      <w:divBdr>
        <w:top w:val="none" w:sz="0" w:space="0" w:color="auto"/>
        <w:left w:val="none" w:sz="0" w:space="0" w:color="auto"/>
        <w:bottom w:val="none" w:sz="0" w:space="0" w:color="auto"/>
        <w:right w:val="none" w:sz="0" w:space="0" w:color="auto"/>
      </w:divBdr>
    </w:div>
    <w:div w:id="1733196368">
      <w:bodyDiv w:val="1"/>
      <w:marLeft w:val="0"/>
      <w:marRight w:val="0"/>
      <w:marTop w:val="0"/>
      <w:marBottom w:val="0"/>
      <w:divBdr>
        <w:top w:val="none" w:sz="0" w:space="0" w:color="auto"/>
        <w:left w:val="none" w:sz="0" w:space="0" w:color="auto"/>
        <w:bottom w:val="none" w:sz="0" w:space="0" w:color="auto"/>
        <w:right w:val="none" w:sz="0" w:space="0" w:color="auto"/>
      </w:divBdr>
    </w:div>
    <w:div w:id="1788498196">
      <w:bodyDiv w:val="1"/>
      <w:marLeft w:val="0"/>
      <w:marRight w:val="0"/>
      <w:marTop w:val="0"/>
      <w:marBottom w:val="0"/>
      <w:divBdr>
        <w:top w:val="none" w:sz="0" w:space="0" w:color="auto"/>
        <w:left w:val="none" w:sz="0" w:space="0" w:color="auto"/>
        <w:bottom w:val="none" w:sz="0" w:space="0" w:color="auto"/>
        <w:right w:val="none" w:sz="0" w:space="0" w:color="auto"/>
      </w:divBdr>
    </w:div>
    <w:div w:id="1817911545">
      <w:bodyDiv w:val="1"/>
      <w:marLeft w:val="0"/>
      <w:marRight w:val="0"/>
      <w:marTop w:val="0"/>
      <w:marBottom w:val="0"/>
      <w:divBdr>
        <w:top w:val="none" w:sz="0" w:space="0" w:color="auto"/>
        <w:left w:val="none" w:sz="0" w:space="0" w:color="auto"/>
        <w:bottom w:val="none" w:sz="0" w:space="0" w:color="auto"/>
        <w:right w:val="none" w:sz="0" w:space="0" w:color="auto"/>
      </w:divBdr>
    </w:div>
    <w:div w:id="1861359097">
      <w:bodyDiv w:val="1"/>
      <w:marLeft w:val="0"/>
      <w:marRight w:val="0"/>
      <w:marTop w:val="0"/>
      <w:marBottom w:val="0"/>
      <w:divBdr>
        <w:top w:val="none" w:sz="0" w:space="0" w:color="auto"/>
        <w:left w:val="none" w:sz="0" w:space="0" w:color="auto"/>
        <w:bottom w:val="none" w:sz="0" w:space="0" w:color="auto"/>
        <w:right w:val="none" w:sz="0" w:space="0" w:color="auto"/>
      </w:divBdr>
    </w:div>
    <w:div w:id="1866282727">
      <w:bodyDiv w:val="1"/>
      <w:marLeft w:val="0"/>
      <w:marRight w:val="0"/>
      <w:marTop w:val="0"/>
      <w:marBottom w:val="0"/>
      <w:divBdr>
        <w:top w:val="none" w:sz="0" w:space="0" w:color="auto"/>
        <w:left w:val="none" w:sz="0" w:space="0" w:color="auto"/>
        <w:bottom w:val="none" w:sz="0" w:space="0" w:color="auto"/>
        <w:right w:val="none" w:sz="0" w:space="0" w:color="auto"/>
      </w:divBdr>
    </w:div>
    <w:div w:id="1883130471">
      <w:bodyDiv w:val="1"/>
      <w:marLeft w:val="0"/>
      <w:marRight w:val="0"/>
      <w:marTop w:val="0"/>
      <w:marBottom w:val="0"/>
      <w:divBdr>
        <w:top w:val="none" w:sz="0" w:space="0" w:color="auto"/>
        <w:left w:val="none" w:sz="0" w:space="0" w:color="auto"/>
        <w:bottom w:val="none" w:sz="0" w:space="0" w:color="auto"/>
        <w:right w:val="none" w:sz="0" w:space="0" w:color="auto"/>
      </w:divBdr>
    </w:div>
    <w:div w:id="1941374644">
      <w:bodyDiv w:val="1"/>
      <w:marLeft w:val="0"/>
      <w:marRight w:val="0"/>
      <w:marTop w:val="0"/>
      <w:marBottom w:val="0"/>
      <w:divBdr>
        <w:top w:val="none" w:sz="0" w:space="0" w:color="auto"/>
        <w:left w:val="none" w:sz="0" w:space="0" w:color="auto"/>
        <w:bottom w:val="none" w:sz="0" w:space="0" w:color="auto"/>
        <w:right w:val="none" w:sz="0" w:space="0" w:color="auto"/>
      </w:divBdr>
    </w:div>
    <w:div w:id="1963413748">
      <w:bodyDiv w:val="1"/>
      <w:marLeft w:val="0"/>
      <w:marRight w:val="0"/>
      <w:marTop w:val="0"/>
      <w:marBottom w:val="0"/>
      <w:divBdr>
        <w:top w:val="none" w:sz="0" w:space="0" w:color="auto"/>
        <w:left w:val="none" w:sz="0" w:space="0" w:color="auto"/>
        <w:bottom w:val="none" w:sz="0" w:space="0" w:color="auto"/>
        <w:right w:val="none" w:sz="0" w:space="0" w:color="auto"/>
      </w:divBdr>
    </w:div>
    <w:div w:id="1998410676">
      <w:bodyDiv w:val="1"/>
      <w:marLeft w:val="0"/>
      <w:marRight w:val="0"/>
      <w:marTop w:val="0"/>
      <w:marBottom w:val="0"/>
      <w:divBdr>
        <w:top w:val="none" w:sz="0" w:space="0" w:color="auto"/>
        <w:left w:val="none" w:sz="0" w:space="0" w:color="auto"/>
        <w:bottom w:val="none" w:sz="0" w:space="0" w:color="auto"/>
        <w:right w:val="none" w:sz="0" w:space="0" w:color="auto"/>
      </w:divBdr>
    </w:div>
    <w:div w:id="2126655279">
      <w:bodyDiv w:val="1"/>
      <w:marLeft w:val="0"/>
      <w:marRight w:val="0"/>
      <w:marTop w:val="0"/>
      <w:marBottom w:val="0"/>
      <w:divBdr>
        <w:top w:val="none" w:sz="0" w:space="0" w:color="auto"/>
        <w:left w:val="none" w:sz="0" w:space="0" w:color="auto"/>
        <w:bottom w:val="none" w:sz="0" w:space="0" w:color="auto"/>
        <w:right w:val="none" w:sz="0" w:space="0" w:color="auto"/>
      </w:divBdr>
    </w:div>
    <w:div w:id="213486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s>
</file>

<file path=word/_rels/footer2.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90ad063-18ad-4023-a8d9-ba1a0d0e66b8">
      <Value>27</Value>
    </TaxCatchAll>
    <Type_x0020_de_x0020_document xmlns="40598c5b-eb8b-44b6-acb4-096b356a2fab" xsi:nil="true"/>
    <e03f3dd452ed4d79aff0ab23e5d8c1b6 xmlns="40598c5b-eb8b-44b6-acb4-096b356a2fab">
      <Terms xmlns="http://schemas.microsoft.com/office/infopath/2007/PartnerControls">
        <TermInfo xmlns="http://schemas.microsoft.com/office/infopath/2007/PartnerControls">
          <TermName xmlns="http://schemas.microsoft.com/office/infopath/2007/PartnerControls">Documents provisoires</TermName>
          <TermId xmlns="http://schemas.microsoft.com/office/infopath/2007/PartnerControls">30b414c5-c73a-4a2f-bfe1-8284126dc5b0</TermId>
        </TermInfo>
      </Terms>
    </e03f3dd452ed4d79aff0ab23e5d8c1b6>
    <SharedWithUsers xmlns="b90ad063-18ad-4023-a8d9-ba1a0d0e66b8">
      <UserInfo>
        <DisplayName>CHAPEAUX Loïc ( FFB DAEFI )</DisplayName>
        <AccountId>18</AccountId>
        <AccountType/>
      </UserInfo>
      <UserInfo>
        <DisplayName>REYES HUBER Ximena ( FFB DAEFI )</DisplayName>
        <AccountId>25</AccountId>
        <AccountType/>
      </UserInfo>
      <UserInfo>
        <DisplayName>WANDE Alfred ( FFB DAEFI/DCP )</DisplayName>
        <AccountId>50</AccountId>
        <AccountType/>
      </UserInfo>
      <UserInfo>
        <DisplayName>PARTOUCHE Denise ( FFB DAEFI/SEE )</DisplayName>
        <AccountId>54</AccountId>
        <AccountType/>
      </UserInfo>
      <UserInfo>
        <DisplayName>DUSSAUX Hélène ( FFB DAEFI/SEE )</DisplayName>
        <AccountId>26</AccountId>
        <AccountType/>
      </UserInfo>
      <UserInfo>
        <DisplayName>ALLINE Nicolas ( FFB DAEFI/SEE )</DisplayName>
        <AccountId>42</AccountId>
        <AccountType/>
      </UserInfo>
      <UserInfo>
        <DisplayName>VESSILLIER Delphine ( FFB DAEFI/SEES )</DisplayName>
        <AccountId>28</AccountId>
        <AccountType/>
      </UserInfo>
      <UserInfo>
        <DisplayName>PARSY Nathalie ( FFB DAEFI/SEES )</DisplayName>
        <AccountId>43</AccountId>
        <AccountType/>
      </UserInfo>
      <UserInfo>
        <DisplayName>MEDANI Sidina ( FFB DAEFI/SEES )</DisplayName>
        <AccountId>44</AccountId>
        <AccountType/>
      </UserInfo>
      <UserInfo>
        <DisplayName>DIALLO Myriam ( FFB DAEFI/QI )</DisplayName>
        <AccountId>19</AccountId>
        <AccountType/>
      </UserInfo>
      <UserInfo>
        <DisplayName>ASSOLENT Dimitri ( FFB DAEFI/SEE )</DisplayName>
        <AccountId>58</AccountId>
        <AccountType/>
      </UserInfo>
      <UserInfo>
        <DisplayName>PROMEYRAT Antoine ( FFB DAEFI/DCP )</DisplayName>
        <AccountId>61</AccountId>
        <AccountType/>
      </UserInfo>
      <UserInfo>
        <DisplayName>AUGRIS Bérengère ( FFB DAEFI/QI )</DisplayName>
        <AccountId>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0EB64245E8C943AB90D04A548EC969" ma:contentTypeVersion="8" ma:contentTypeDescription="Crée un document." ma:contentTypeScope="" ma:versionID="a8201ef8639d61a463f6e616c05337be">
  <xsd:schema xmlns:xsd="http://www.w3.org/2001/XMLSchema" xmlns:xs="http://www.w3.org/2001/XMLSchema" xmlns:p="http://schemas.microsoft.com/office/2006/metadata/properties" xmlns:ns2="40598c5b-eb8b-44b6-acb4-096b356a2fab" xmlns:ns3="b90ad063-18ad-4023-a8d9-ba1a0d0e66b8" targetNamespace="http://schemas.microsoft.com/office/2006/metadata/properties" ma:root="true" ma:fieldsID="70c4c21c15fc73b1107b28d365f30db9" ns2:_="" ns3:_="">
    <xsd:import namespace="40598c5b-eb8b-44b6-acb4-096b356a2fab"/>
    <xsd:import namespace="b90ad063-18ad-4023-a8d9-ba1a0d0e66b8"/>
    <xsd:element name="properties">
      <xsd:complexType>
        <xsd:sequence>
          <xsd:element name="documentManagement">
            <xsd:complexType>
              <xsd:all>
                <xsd:element ref="ns2:Type_x0020_de_x0020_document" minOccurs="0"/>
                <xsd:element ref="ns2:e03f3dd452ed4d79aff0ab23e5d8c1b6"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98c5b-eb8b-44b6-acb4-096b356a2fab" elementFormDefault="qualified">
    <xsd:import namespace="http://schemas.microsoft.com/office/2006/documentManagement/types"/>
    <xsd:import namespace="http://schemas.microsoft.com/office/infopath/2007/PartnerControls"/>
    <xsd:element name="Type_x0020_de_x0020_document" ma:index="8" nillable="true" ma:displayName="Type de document" ma:format="Dropdown" ma:internalName="Type_x0020_de_x0020_document">
      <xsd:simpleType>
        <xsd:restriction base="dms:Choice">
          <xsd:enumeration value="Word"/>
          <xsd:enumeration value="Powerpoint"/>
          <xsd:enumeration value="Excel"/>
          <xsd:enumeration value="PDF"/>
          <xsd:enumeration value="Autre"/>
        </xsd:restriction>
      </xsd:simpleType>
    </xsd:element>
    <xsd:element name="e03f3dd452ed4d79aff0ab23e5d8c1b6" ma:index="10" ma:taxonomy="true" ma:internalName="e03f3dd452ed4d79aff0ab23e5d8c1b6" ma:taxonomyFieldName="Th_x00e8_mes_x0020_du_x0020_document" ma:displayName="Thèmes du document" ma:readOnly="false" ma:default="1;#SEE|81099eea-3737-4fde-9257-bfa293ae1818" ma:fieldId="{e03f3dd4-52ed-4d79-aff0-ab23e5d8c1b6}" ma:taxonomyMulti="true" ma:sspId="16fb23be-d400-4d26-b240-6ede1ba76c2a" ma:termSetId="c1980e8c-4c88-4cf8-9104-98d37fd01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0ad063-18ad-4023-a8d9-ba1a0d0e66b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09cd5039-f872-497a-b846-607916489662}" ma:internalName="TaxCatchAll" ma:showField="CatchAllData" ma:web="b90ad063-18ad-4023-a8d9-ba1a0d0e66b8">
      <xsd:complexType>
        <xsd:complexContent>
          <xsd:extension base="dms:MultiChoiceLookup">
            <xsd:sequence>
              <xsd:element name="Value" type="dms:Lookup" maxOccurs="unbounded" minOccurs="0" nillable="true"/>
            </xsd:sequence>
          </xsd:extension>
        </xsd:complexContent>
      </xsd:complexType>
    </xsd:element>
    <xsd:element name="SharedWithUsers" ma:index="12"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F5DA5-6C96-49D5-A100-A1F6CB2907A5}">
  <ds:schemaRefs>
    <ds:schemaRef ds:uri="http://schemas.openxmlformats.org/officeDocument/2006/bibliography"/>
  </ds:schemaRefs>
</ds:datastoreItem>
</file>

<file path=customXml/itemProps2.xml><?xml version="1.0" encoding="utf-8"?>
<ds:datastoreItem xmlns:ds="http://schemas.openxmlformats.org/officeDocument/2006/customXml" ds:itemID="{4F92FD89-651D-49F5-A6DC-DA9EB4B1F50D}">
  <ds:schemaRefs>
    <ds:schemaRef ds:uri="http://schemas.microsoft.com/office/2006/metadata/properties"/>
    <ds:schemaRef ds:uri="http://schemas.microsoft.com/office/infopath/2007/PartnerControls"/>
    <ds:schemaRef ds:uri="b90ad063-18ad-4023-a8d9-ba1a0d0e66b8"/>
    <ds:schemaRef ds:uri="40598c5b-eb8b-44b6-acb4-096b356a2fab"/>
  </ds:schemaRefs>
</ds:datastoreItem>
</file>

<file path=customXml/itemProps3.xml><?xml version="1.0" encoding="utf-8"?>
<ds:datastoreItem xmlns:ds="http://schemas.openxmlformats.org/officeDocument/2006/customXml" ds:itemID="{306B2621-3F2D-4972-9254-2269A043D2D2}">
  <ds:schemaRefs>
    <ds:schemaRef ds:uri="http://schemas.microsoft.com/sharepoint/v3/contenttype/forms"/>
  </ds:schemaRefs>
</ds:datastoreItem>
</file>

<file path=customXml/itemProps4.xml><?xml version="1.0" encoding="utf-8"?>
<ds:datastoreItem xmlns:ds="http://schemas.openxmlformats.org/officeDocument/2006/customXml" ds:itemID="{94CE747C-F39D-41F3-B91A-E8B7514AE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98c5b-eb8b-44b6-acb4-096b356a2fab"/>
    <ds:schemaRef ds:uri="b90ad063-18ad-4023-a8d9-ba1a0d0e6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3816</Words>
  <Characters>20991</Characters>
  <Application>Microsoft Office Word</Application>
  <DocSecurity>4</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FFB</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QUINTON Eric ( FFB SEE )</dc:creator>
  <cp:keywords>2024</cp:keywords>
  <dc:description/>
  <cp:lastModifiedBy>CUCHEVAL Anaïk ( FFB Editions Presse et communication )</cp:lastModifiedBy>
  <cp:revision>2</cp:revision>
  <cp:lastPrinted>2023-07-03T14:41:00Z</cp:lastPrinted>
  <dcterms:created xsi:type="dcterms:W3CDTF">2024-03-11T15:20:00Z</dcterms:created>
  <dcterms:modified xsi:type="dcterms:W3CDTF">2024-03-11T15:20:00Z</dcterms:modified>
  <cp:category>Conférences presse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0x010100FC0EB64245E8C943AB90D04A548EC969</vt:lpwstr>
  </property>
  <property fmtid="{D5CDD505-2E9C-101B-9397-08002B2CF9AE}" pid="3" name="IsMyDocuments">
    <vt:bool>true</vt:bool>
  </property>
  <property fmtid="{D5CDD505-2E9C-101B-9397-08002B2CF9AE}" pid="4" name="Thèmes du document">
    <vt:lpwstr>27;#Documents provisoires|30b414c5-c73a-4a2f-bfe1-8284126dc5b0</vt:lpwstr>
  </property>
  <property fmtid="{D5CDD505-2E9C-101B-9397-08002B2CF9AE}" pid="5" name="MSIP_Label_f1a95e15-f021-4cd3-ac15-bca03bba052b_Enabled">
    <vt:lpwstr>true</vt:lpwstr>
  </property>
  <property fmtid="{D5CDD505-2E9C-101B-9397-08002B2CF9AE}" pid="6" name="MSIP_Label_f1a95e15-f021-4cd3-ac15-bca03bba052b_SetDate">
    <vt:lpwstr>2023-04-11T18:25:35Z</vt:lpwstr>
  </property>
  <property fmtid="{D5CDD505-2E9C-101B-9397-08002B2CF9AE}" pid="7" name="MSIP_Label_f1a95e15-f021-4cd3-ac15-bca03bba052b_Method">
    <vt:lpwstr>Standard</vt:lpwstr>
  </property>
  <property fmtid="{D5CDD505-2E9C-101B-9397-08002B2CF9AE}" pid="8" name="MSIP_Label_f1a95e15-f021-4cd3-ac15-bca03bba052b_Name">
    <vt:lpwstr>f1a95e15-f021-4cd3-ac15-bca03bba052b</vt:lpwstr>
  </property>
  <property fmtid="{D5CDD505-2E9C-101B-9397-08002B2CF9AE}" pid="9" name="MSIP_Label_f1a95e15-f021-4cd3-ac15-bca03bba052b_SiteId">
    <vt:lpwstr>92410b1b-4b46-4710-b23c-c3a3814046a4</vt:lpwstr>
  </property>
  <property fmtid="{D5CDD505-2E9C-101B-9397-08002B2CF9AE}" pid="10" name="MSIP_Label_f1a95e15-f021-4cd3-ac15-bca03bba052b_ActionId">
    <vt:lpwstr>81d7c988-7722-4d6b-9a87-66c71a6879c7</vt:lpwstr>
  </property>
  <property fmtid="{D5CDD505-2E9C-101B-9397-08002B2CF9AE}" pid="11" name="MSIP_Label_f1a95e15-f021-4cd3-ac15-bca03bba052b_ContentBits">
    <vt:lpwstr>0</vt:lpwstr>
  </property>
</Properties>
</file>